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4F5D94A1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 учебной практике УП 02</w:t>
      </w:r>
      <w:r w:rsidRPr="00C1016D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МДК 02.01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A60CC6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73F9FA31" w14:textId="64D48A0F" w:rsidR="00DB07F5" w:rsidRDefault="00E529FA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8649736" w:history="1">
            <w:r w:rsidR="00DB07F5" w:rsidRPr="00835835">
              <w:rPr>
                <w:rStyle w:val="ab"/>
                <w:noProof/>
              </w:rPr>
              <w:t>1.</w:t>
            </w:r>
            <w:r w:rsidR="00DB07F5">
              <w:rPr>
                <w:rFonts w:eastAsiaTheme="minorEastAsia"/>
                <w:noProof/>
                <w:lang w:eastAsia="ru-RU"/>
              </w:rPr>
              <w:tab/>
            </w:r>
            <w:r w:rsidR="00DB07F5" w:rsidRPr="00835835">
              <w:rPr>
                <w:rStyle w:val="ab"/>
                <w:noProof/>
              </w:rPr>
              <w:t>Задание</w:t>
            </w:r>
            <w:r w:rsidR="00DB07F5">
              <w:rPr>
                <w:noProof/>
                <w:webHidden/>
              </w:rPr>
              <w:tab/>
            </w:r>
            <w:r w:rsidR="00DB07F5">
              <w:rPr>
                <w:noProof/>
                <w:webHidden/>
              </w:rPr>
              <w:fldChar w:fldCharType="begin"/>
            </w:r>
            <w:r w:rsidR="00DB07F5">
              <w:rPr>
                <w:noProof/>
                <w:webHidden/>
              </w:rPr>
              <w:instrText xml:space="preserve"> PAGEREF _Toc128649736 \h </w:instrText>
            </w:r>
            <w:r w:rsidR="00DB07F5">
              <w:rPr>
                <w:noProof/>
                <w:webHidden/>
              </w:rPr>
            </w:r>
            <w:r w:rsidR="00DB07F5">
              <w:rPr>
                <w:noProof/>
                <w:webHidden/>
              </w:rPr>
              <w:fldChar w:fldCharType="separate"/>
            </w:r>
            <w:r w:rsidR="00DB07F5">
              <w:rPr>
                <w:noProof/>
                <w:webHidden/>
              </w:rPr>
              <w:t>3</w:t>
            </w:r>
            <w:r w:rsidR="00DB07F5">
              <w:rPr>
                <w:noProof/>
                <w:webHidden/>
              </w:rPr>
              <w:fldChar w:fldCharType="end"/>
            </w:r>
          </w:hyperlink>
        </w:p>
        <w:p w14:paraId="58001014" w14:textId="57F49905" w:rsidR="00DB07F5" w:rsidRDefault="00DB07F5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8649737" w:history="1">
            <w:r w:rsidRPr="00835835">
              <w:rPr>
                <w:rStyle w:val="ab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5835">
              <w:rPr>
                <w:rStyle w:val="ab"/>
                <w:noProof/>
              </w:rPr>
              <w:t>Разработки библиотеки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A6DC" w14:textId="18864463" w:rsidR="00DB07F5" w:rsidRDefault="00DB07F5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8649738" w:history="1">
            <w:r w:rsidRPr="00835835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5835">
              <w:rPr>
                <w:rStyle w:val="ab"/>
                <w:noProof/>
              </w:rPr>
              <w:t>Класс расчета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065C" w14:textId="11B7CE81" w:rsidR="00DB07F5" w:rsidRDefault="00DB07F5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8649739" w:history="1">
            <w:r w:rsidRPr="00835835">
              <w:rPr>
                <w:rStyle w:val="ab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5835">
              <w:rPr>
                <w:rStyle w:val="ab"/>
                <w:noProof/>
              </w:rPr>
              <w:t>Разработка модульных тестов (</w:t>
            </w:r>
            <w:r w:rsidRPr="00835835">
              <w:rPr>
                <w:rStyle w:val="ab"/>
                <w:noProof/>
                <w:lang w:val="en-US"/>
              </w:rPr>
              <w:t>Unit</w:t>
            </w:r>
            <w:r w:rsidRPr="00835835">
              <w:rPr>
                <w:rStyle w:val="ab"/>
                <w:noProof/>
              </w:rPr>
              <w:t>-</w:t>
            </w:r>
            <w:r w:rsidRPr="00835835">
              <w:rPr>
                <w:rStyle w:val="ab"/>
                <w:noProof/>
                <w:lang w:val="en-US"/>
              </w:rPr>
              <w:t>tests</w:t>
            </w:r>
            <w:r w:rsidRPr="00835835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D95A" w14:textId="01198F6F" w:rsidR="00DB07F5" w:rsidRDefault="00DB07F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8649740" w:history="1">
            <w:r w:rsidRPr="00835835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5835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3B0B" w14:textId="2E7CE848" w:rsidR="00DB07F5" w:rsidRDefault="00DB07F5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8649741" w:history="1">
            <w:r w:rsidRPr="00835835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5835">
              <w:rPr>
                <w:rStyle w:val="ab"/>
                <w:noProof/>
              </w:rPr>
              <w:t>Метод для расчета количества сырья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FDAB" w14:textId="62866DBF" w:rsidR="00DB07F5" w:rsidRDefault="00DB07F5">
          <w:pPr>
            <w:pStyle w:val="23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8649742" w:history="1">
            <w:r w:rsidRPr="00835835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35835">
              <w:rPr>
                <w:rStyle w:val="ab"/>
                <w:noProof/>
              </w:rPr>
              <w:t>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3044" w14:textId="330578D9" w:rsidR="00E529FA" w:rsidRPr="00AE3C09" w:rsidRDefault="00E529FA" w:rsidP="005E3F9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374F9660" w:rsidR="005C6259" w:rsidRDefault="00DB07F5" w:rsidP="00B23BF4">
      <w:pPr>
        <w:pStyle w:val="1"/>
      </w:pPr>
      <w:bookmarkStart w:id="0" w:name="_Toc128649736"/>
      <w:r>
        <w:lastRenderedPageBreak/>
        <w:t>Задание</w:t>
      </w:r>
      <w:bookmarkEnd w:id="0"/>
    </w:p>
    <w:p w14:paraId="101D08D1" w14:textId="1A42C289" w:rsidR="00C81CBA" w:rsidRDefault="00DB07F5" w:rsidP="00DB07F5">
      <w:pPr>
        <w:pStyle w:val="2"/>
      </w:pPr>
      <w:bookmarkStart w:id="1" w:name="_Toc128649737"/>
      <w:r>
        <w:t>Разработки библиотеки классов</w:t>
      </w:r>
      <w:bookmarkEnd w:id="1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58AAEDFE" w:rsidR="00DB07F5" w:rsidRDefault="00DB07F5" w:rsidP="00DB07F5">
      <w:pPr>
        <w:pStyle w:val="2"/>
      </w:pPr>
      <w:bookmarkStart w:id="2" w:name="_Toc128649738"/>
      <w:r>
        <w:t>Класс расчета материалов</w:t>
      </w:r>
      <w:bookmarkEnd w:id="2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657987C6" w:rsidR="00DB07F5" w:rsidRDefault="00DB07F5" w:rsidP="00DB07F5">
      <w:pPr>
        <w:pStyle w:val="2"/>
      </w:pPr>
      <w:bookmarkStart w:id="3" w:name="_Toc128649739"/>
      <w:r>
        <w:t>Разработка модульных тестов (</w:t>
      </w:r>
      <w:r>
        <w:rPr>
          <w:lang w:val="en-US"/>
        </w:rPr>
        <w:t>Unit</w:t>
      </w:r>
      <w:r w:rsidRPr="00DB07F5">
        <w:t>-</w:t>
      </w:r>
      <w:r>
        <w:rPr>
          <w:lang w:val="en-US"/>
        </w:rPr>
        <w:t>tests</w:t>
      </w:r>
      <w:r w:rsidRPr="00DB07F5">
        <w:t>)</w:t>
      </w:r>
      <w:bookmarkEnd w:id="3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тестирования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</w:t>
      </w:r>
      <w:proofErr w:type="gramStart"/>
      <w:r>
        <w:t>пройдены</w:t>
      </w:r>
      <w:proofErr w:type="gramEnd"/>
      <w:r>
        <w:t xml:space="preserve">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4E14A9A4" w:rsidR="005C6259" w:rsidRDefault="00DB07F5" w:rsidP="00B23BF4">
      <w:pPr>
        <w:pStyle w:val="1"/>
      </w:pPr>
      <w:bookmarkStart w:id="4" w:name="_Toc128649740"/>
      <w:r>
        <w:lastRenderedPageBreak/>
        <w:t>Ход работы</w:t>
      </w:r>
      <w:bookmarkEnd w:id="4"/>
    </w:p>
    <w:p w14:paraId="09BCD6C4" w14:textId="62A60521" w:rsidR="00DB07F5" w:rsidRPr="00DB07F5" w:rsidRDefault="00DB07F5" w:rsidP="00DB07F5">
      <w:pPr>
        <w:pStyle w:val="2"/>
      </w:pPr>
      <w:bookmarkStart w:id="5" w:name="_Toc128649741"/>
      <w:r>
        <w:t>Метод для расчета количества сырья</w:t>
      </w:r>
      <w:bookmarkEnd w:id="5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3106B7D5" w:rsidR="00DB07F5" w:rsidRDefault="00DB07F5" w:rsidP="00DB07F5">
      <w:pPr>
        <w:pStyle w:val="a9"/>
      </w:pPr>
      <w:r w:rsidRPr="00DB07F5">
        <w:t xml:space="preserve">Рисунок </w:t>
      </w:r>
      <w:r w:rsidRPr="00DB07F5">
        <w:fldChar w:fldCharType="begin"/>
      </w:r>
      <w:r w:rsidRPr="00DB07F5">
        <w:instrText xml:space="preserve"> SEQ Рисунок \* ARABIC </w:instrText>
      </w:r>
      <w:r w:rsidRPr="00DB07F5">
        <w:fldChar w:fldCharType="separate"/>
      </w:r>
      <w:r w:rsidR="000F4D32">
        <w:rPr>
          <w:noProof/>
        </w:rPr>
        <w:t>1</w:t>
      </w:r>
      <w:r w:rsidRPr="00DB07F5">
        <w:fldChar w:fldCharType="end"/>
      </w:r>
      <w:r>
        <w:t xml:space="preserve"> – Код метода для расчета количества сырья</w:t>
      </w:r>
    </w:p>
    <w:p w14:paraId="167C886E" w14:textId="1C25FE88" w:rsidR="00DB07F5" w:rsidRDefault="00DB07F5" w:rsidP="00DB07F5">
      <w:pPr>
        <w:pStyle w:val="2"/>
      </w:pPr>
      <w:bookmarkStart w:id="6" w:name="_Toc128649742"/>
      <w:r>
        <w:t>Модульные тесты</w:t>
      </w:r>
      <w:bookmarkEnd w:id="6"/>
    </w:p>
    <w:p w14:paraId="78A27687" w14:textId="5A2D118D" w:rsidR="00DB07F5" w:rsidRDefault="00DB07F5" w:rsidP="00DB07F5">
      <w:pPr>
        <w:pStyle w:val="a"/>
      </w:pPr>
      <w:r>
        <w:t>Тестирование правильности расчетов</w:t>
      </w:r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11860539" w:rsidR="00DB07F5" w:rsidRDefault="00DB07F5" w:rsidP="00DB07F5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4D32">
        <w:rPr>
          <w:noProof/>
        </w:rPr>
        <w:t>2</w:t>
      </w:r>
      <w:r>
        <w:fldChar w:fldCharType="end"/>
      </w:r>
      <w:r>
        <w:t xml:space="preserve"> – Метод для тестирования правильности расчетов</w:t>
      </w:r>
    </w:p>
    <w:p w14:paraId="53CB8B79" w14:textId="189D97A5" w:rsidR="00DB07F5" w:rsidRDefault="00DB07F5" w:rsidP="00DB07F5">
      <w:pPr>
        <w:pStyle w:val="a"/>
      </w:pPr>
      <w:r>
        <w:lastRenderedPageBreak/>
        <w:t>Тестирование несуществующего типа продукта</w:t>
      </w:r>
    </w:p>
    <w:p w14:paraId="2AB390D8" w14:textId="4A8FD51C" w:rsidR="00DB07F5" w:rsidRDefault="00DB07F5" w:rsidP="00DB07F5">
      <w:pPr>
        <w:pStyle w:val="a1"/>
      </w:pPr>
      <w:r>
        <w:t xml:space="preserve">Данный тест проверят </w:t>
      </w:r>
      <w:r>
        <w:t>метод на обработку ввода несуществующего типа продукта</w:t>
      </w:r>
      <w:r>
        <w:t xml:space="preserve">. Код данного метода изображен на рисунке </w:t>
      </w:r>
      <w:r>
        <w:t>3</w:t>
      </w:r>
      <w:r>
        <w:t>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9"/>
      </w:pPr>
      <w:r>
        <w:t xml:space="preserve">Рисунок </w:t>
      </w:r>
      <w:r>
        <w:t>3</w:t>
      </w:r>
      <w:r>
        <w:t xml:space="preserve"> – Метод для тестирования </w:t>
      </w:r>
      <w:r w:rsidR="00C574C2">
        <w:t>несуществующего типа продукта</w:t>
      </w:r>
    </w:p>
    <w:p w14:paraId="7ED25FA2" w14:textId="67921CA7" w:rsidR="00C574C2" w:rsidRDefault="00C574C2" w:rsidP="00C574C2">
      <w:pPr>
        <w:pStyle w:val="a"/>
      </w:pPr>
      <w:r>
        <w:t xml:space="preserve">Тестирование несуществующего типа </w:t>
      </w:r>
      <w:r>
        <w:t>материала</w:t>
      </w:r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9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</w:t>
      </w:r>
      <w:r>
        <w:t>материала</w:t>
      </w:r>
    </w:p>
    <w:p w14:paraId="0D375296" w14:textId="0A014E02" w:rsidR="00C574C2" w:rsidRDefault="00C574C2" w:rsidP="00C574C2">
      <w:pPr>
        <w:pStyle w:val="a"/>
      </w:pPr>
      <w:r>
        <w:t>Тестирование отрицательного количества продукции</w:t>
      </w:r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9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Default="00D43A7B" w:rsidP="00D43A7B">
      <w:pPr>
        <w:pStyle w:val="a"/>
      </w:pPr>
      <w:r>
        <w:lastRenderedPageBreak/>
        <w:t>Тестирование отрицательн</w:t>
      </w:r>
      <w:r>
        <w:t>ой ширины</w:t>
      </w:r>
    </w:p>
    <w:p w14:paraId="374554D1" w14:textId="1E1777C9" w:rsidR="00D43A7B" w:rsidRPr="002725D5" w:rsidRDefault="00D43A7B" w:rsidP="00D43A7B">
      <w:pPr>
        <w:pStyle w:val="a1"/>
      </w:pPr>
      <w:r>
        <w:t>Данный тест проверяет метод на обработку ввода отрицательно</w:t>
      </w:r>
      <w:r>
        <w:t>й ширины</w:t>
      </w:r>
      <w:r>
        <w:t xml:space="preserve">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9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Default="00D43A7B" w:rsidP="00D43A7B">
      <w:pPr>
        <w:pStyle w:val="a"/>
      </w:pPr>
      <w:r>
        <w:t>Тестирование отрицательно</w:t>
      </w:r>
      <w:r>
        <w:t>й длины</w:t>
      </w:r>
    </w:p>
    <w:p w14:paraId="620E7216" w14:textId="0662E058" w:rsidR="00D43A7B" w:rsidRPr="002725D5" w:rsidRDefault="00D43A7B" w:rsidP="00D43A7B">
      <w:pPr>
        <w:pStyle w:val="a1"/>
      </w:pPr>
      <w:r>
        <w:t>Данный тест проверяет метод на обработку ввода отрицательно</w:t>
      </w:r>
      <w:r>
        <w:t>й длины</w:t>
      </w:r>
      <w:r>
        <w:t xml:space="preserve">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9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Default="00DA42F2" w:rsidP="00DA42F2">
      <w:pPr>
        <w:pStyle w:val="a"/>
      </w:pPr>
      <w:r>
        <w:t xml:space="preserve">Тестирование </w:t>
      </w:r>
      <w:r>
        <w:t>округления к наименьшему целому</w:t>
      </w:r>
    </w:p>
    <w:p w14:paraId="24AAD6E5" w14:textId="267E16B5" w:rsidR="00DA42F2" w:rsidRPr="002725D5" w:rsidRDefault="00DA42F2" w:rsidP="00DA42F2">
      <w:pPr>
        <w:pStyle w:val="a1"/>
      </w:pPr>
      <w:r>
        <w:t xml:space="preserve">Данный тест проверяет метод на </w:t>
      </w:r>
      <w:r>
        <w:t>округление количества с учетом погрешности брака к меньшему целому</w:t>
      </w:r>
      <w:r>
        <w:t xml:space="preserve">. Код данного метода изображен на рисунке </w:t>
      </w:r>
      <w:r>
        <w:t>8</w:t>
      </w:r>
      <w:r>
        <w:t>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9"/>
      </w:pPr>
      <w:r>
        <w:t xml:space="preserve">Рисунок </w:t>
      </w:r>
      <w:r>
        <w:t>8</w:t>
      </w:r>
      <w:r>
        <w:t xml:space="preserve">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Default="00C17F2B" w:rsidP="00C17F2B">
      <w:pPr>
        <w:pStyle w:val="a"/>
      </w:pPr>
      <w:r>
        <w:lastRenderedPageBreak/>
        <w:t xml:space="preserve">Тестирование </w:t>
      </w:r>
      <w:r>
        <w:t>нулевого количества</w:t>
      </w:r>
    </w:p>
    <w:p w14:paraId="005175BC" w14:textId="06B085E0" w:rsidR="00C17F2B" w:rsidRPr="002725D5" w:rsidRDefault="00C17F2B" w:rsidP="00C17F2B">
      <w:pPr>
        <w:pStyle w:val="a1"/>
      </w:pPr>
      <w:r>
        <w:t xml:space="preserve">Данный тест проверяет метод на обработку ввода </w:t>
      </w:r>
      <w:r>
        <w:t>нулевого</w:t>
      </w:r>
      <w:r>
        <w:t xml:space="preserve"> </w:t>
      </w:r>
      <w:r>
        <w:t>количества</w:t>
      </w:r>
      <w:r>
        <w:t xml:space="preserve">. Код данного метода изображен на рисунке </w:t>
      </w:r>
      <w:r>
        <w:t>9</w:t>
      </w:r>
      <w:r>
        <w:t>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9"/>
      </w:pPr>
      <w:r>
        <w:t xml:space="preserve">Рисунок </w:t>
      </w:r>
      <w:r>
        <w:t>9</w:t>
      </w:r>
      <w:r>
        <w:t xml:space="preserve"> – Метод для тестирования </w:t>
      </w:r>
      <w:r>
        <w:t>нулевого количества</w:t>
      </w:r>
    </w:p>
    <w:p w14:paraId="29B8BAE3" w14:textId="7021AF9F" w:rsidR="00993A67" w:rsidRDefault="00993A67" w:rsidP="00993A67">
      <w:pPr>
        <w:pStyle w:val="a"/>
      </w:pPr>
      <w:r>
        <w:t>Тестирование нулево</w:t>
      </w:r>
      <w:r>
        <w:t>й</w:t>
      </w:r>
      <w:r>
        <w:t xml:space="preserve"> </w:t>
      </w:r>
      <w:r>
        <w:t>ширины</w:t>
      </w:r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</w:t>
      </w:r>
      <w:r>
        <w:t>й</w:t>
      </w:r>
      <w:r>
        <w:t xml:space="preserve"> </w:t>
      </w:r>
      <w:r>
        <w:t>ширины</w:t>
      </w:r>
      <w:r>
        <w:t xml:space="preserve">. Код данного метода изображен на рисунке </w:t>
      </w:r>
      <w:r>
        <w:t>10</w:t>
      </w:r>
      <w:r>
        <w:t>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9"/>
      </w:pPr>
      <w:r>
        <w:t xml:space="preserve">Рисунок </w:t>
      </w:r>
      <w:r>
        <w:t>10</w:t>
      </w:r>
      <w:r>
        <w:t xml:space="preserve"> – Метод для тестирования нулево</w:t>
      </w:r>
      <w:r>
        <w:t>й</w:t>
      </w:r>
      <w:r>
        <w:t xml:space="preserve"> </w:t>
      </w:r>
      <w:r>
        <w:t>ширины</w:t>
      </w:r>
    </w:p>
    <w:p w14:paraId="459A37BD" w14:textId="2F3A0D76" w:rsidR="00993A67" w:rsidRDefault="00993A67" w:rsidP="00993A67">
      <w:pPr>
        <w:pStyle w:val="a"/>
      </w:pPr>
      <w:r>
        <w:t>Тестирование нулево</w:t>
      </w:r>
      <w:r>
        <w:t>й</w:t>
      </w:r>
      <w:r>
        <w:t xml:space="preserve"> </w:t>
      </w:r>
      <w:r>
        <w:t>длины</w:t>
      </w:r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</w:t>
      </w:r>
      <w:r>
        <w:t>й</w:t>
      </w:r>
      <w:r>
        <w:t xml:space="preserve"> </w:t>
      </w:r>
      <w:r>
        <w:t>длины</w:t>
      </w:r>
      <w:r>
        <w:t xml:space="preserve">. Код данного метода изображен на рисунке </w:t>
      </w:r>
      <w:r>
        <w:t>11</w:t>
      </w:r>
      <w:r>
        <w:t>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9"/>
      </w:pPr>
      <w:r>
        <w:t xml:space="preserve">Рисунок </w:t>
      </w:r>
      <w:r>
        <w:t>11</w:t>
      </w:r>
      <w:r>
        <w:t xml:space="preserve"> – Метод для тестирования нулево</w:t>
      </w:r>
      <w:r>
        <w:t>й</w:t>
      </w:r>
      <w:r>
        <w:t xml:space="preserve"> количества</w:t>
      </w:r>
    </w:p>
    <w:p w14:paraId="65CDF83A" w14:textId="4BABC669" w:rsidR="00993A67" w:rsidRDefault="00D7040A" w:rsidP="00D7040A">
      <w:pPr>
        <w:pStyle w:val="a"/>
      </w:pPr>
      <w:r>
        <w:lastRenderedPageBreak/>
        <w:t>Успешность методов тестирования</w:t>
      </w:r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9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26CDCFDA" w:rsidR="00D7040A" w:rsidRPr="00D7040A" w:rsidRDefault="00F80075" w:rsidP="00F80075">
      <w:pPr>
        <w:pStyle w:val="2"/>
      </w:pPr>
      <w:r>
        <w:t>Тестирование «</w:t>
      </w:r>
      <w:r>
        <w:rPr>
          <w:lang w:val="en-US"/>
        </w:rPr>
        <w:t>Test-Case</w:t>
      </w:r>
      <w:r>
        <w:t>»</w:t>
      </w:r>
      <w:r w:rsidRPr="00D7040A">
        <w:t xml:space="preserve"> </w:t>
      </w:r>
    </w:p>
    <w:p w14:paraId="7539F5C9" w14:textId="2745324E" w:rsidR="00C17F2B" w:rsidRDefault="00F80075" w:rsidP="00F80075">
      <w:pPr>
        <w:pStyle w:val="a"/>
      </w:pPr>
      <w:r>
        <w:t>Тестовый пример 1</w:t>
      </w:r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9"/>
      </w:pPr>
      <w:r>
        <w:t>Рисунок 13 – Первый тестовый пример</w:t>
      </w:r>
    </w:p>
    <w:p w14:paraId="478989AF" w14:textId="55078956" w:rsidR="000F4D32" w:rsidRDefault="000F4D32" w:rsidP="000F4D32">
      <w:pPr>
        <w:pStyle w:val="a"/>
      </w:pPr>
      <w:r>
        <w:lastRenderedPageBreak/>
        <w:t xml:space="preserve">Тестовый пример </w:t>
      </w:r>
      <w:r>
        <w:t>2</w:t>
      </w:r>
    </w:p>
    <w:p w14:paraId="0273E9E0" w14:textId="7500D1DD" w:rsidR="000F4D32" w:rsidRDefault="000F4D32" w:rsidP="000F4D32">
      <w:pPr>
        <w:pStyle w:val="a1"/>
      </w:pPr>
      <w:r>
        <w:t xml:space="preserve">На рисунке </w:t>
      </w:r>
      <w:r>
        <w:t>14</w:t>
      </w:r>
      <w:r>
        <w:t xml:space="preserve"> показан </w:t>
      </w:r>
      <w:r>
        <w:t>второй</w:t>
      </w:r>
      <w:r>
        <w:t xml:space="preserve">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9"/>
      </w:pPr>
      <w:r>
        <w:t xml:space="preserve">Рисунок </w:t>
      </w:r>
      <w:r>
        <w:t>14</w:t>
      </w:r>
      <w:r>
        <w:t xml:space="preserve"> – </w:t>
      </w:r>
      <w:r>
        <w:t>Второй</w:t>
      </w:r>
      <w:r>
        <w:t xml:space="preserve"> тестовый пример</w:t>
      </w:r>
    </w:p>
    <w:p w14:paraId="4868D8C1" w14:textId="302A4470" w:rsidR="000F4D32" w:rsidRDefault="000F4D32" w:rsidP="000F4D32">
      <w:pPr>
        <w:pStyle w:val="a"/>
        <w:numPr>
          <w:ilvl w:val="2"/>
          <w:numId w:val="32"/>
        </w:numPr>
      </w:pPr>
      <w:r>
        <w:t xml:space="preserve">Тестовый пример </w:t>
      </w:r>
      <w:r>
        <w:t>3</w:t>
      </w:r>
    </w:p>
    <w:p w14:paraId="79504AD6" w14:textId="0B52152A" w:rsidR="000F4D32" w:rsidRDefault="000F4D32" w:rsidP="000F4D32">
      <w:pPr>
        <w:pStyle w:val="a1"/>
      </w:pPr>
      <w:r>
        <w:t xml:space="preserve">На рисунке </w:t>
      </w:r>
      <w:r>
        <w:t>15</w:t>
      </w:r>
      <w:r>
        <w:t xml:space="preserve"> показан </w:t>
      </w:r>
      <w:r>
        <w:t>третий</w:t>
      </w:r>
      <w:r>
        <w:t xml:space="preserve">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9"/>
      </w:pPr>
      <w:r>
        <w:t>Рисунок 1</w:t>
      </w:r>
      <w:r>
        <w:t>5</w:t>
      </w:r>
      <w:r>
        <w:t xml:space="preserve"> – </w:t>
      </w:r>
      <w:r>
        <w:t>Третий</w:t>
      </w:r>
      <w:r>
        <w:t xml:space="preserve"> тестовый пример</w:t>
      </w:r>
    </w:p>
    <w:p w14:paraId="51AF4E45" w14:textId="1388C4C0" w:rsidR="000F4D32" w:rsidRDefault="000F4D32" w:rsidP="000F4D32">
      <w:pPr>
        <w:pStyle w:val="a"/>
        <w:numPr>
          <w:ilvl w:val="2"/>
          <w:numId w:val="33"/>
        </w:numPr>
      </w:pPr>
      <w:r>
        <w:t xml:space="preserve">Тестовый пример </w:t>
      </w:r>
      <w:r w:rsidR="00E77884">
        <w:t>4</w:t>
      </w:r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9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Default="000F4D32" w:rsidP="000F4D32">
      <w:pPr>
        <w:pStyle w:val="a"/>
        <w:numPr>
          <w:ilvl w:val="2"/>
          <w:numId w:val="34"/>
        </w:numPr>
      </w:pPr>
      <w:r>
        <w:t xml:space="preserve">Тестовый пример </w:t>
      </w:r>
      <w:r w:rsidR="00E77884">
        <w:t>5</w:t>
      </w:r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CCEA" w14:textId="5F872E9C" w:rsidR="00D43A7B" w:rsidRPr="00D43A7B" w:rsidRDefault="000F4D32" w:rsidP="0036079B">
      <w:pPr>
        <w:pStyle w:val="a9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bookmarkStart w:id="7" w:name="_GoBack"/>
      <w:bookmarkEnd w:id="7"/>
    </w:p>
    <w:sectPr w:rsidR="00D43A7B" w:rsidRPr="00D43A7B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5D"/>
    <w:multiLevelType w:val="hybridMultilevel"/>
    <w:tmpl w:val="C3C00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57182"/>
    <w:multiLevelType w:val="hybridMultilevel"/>
    <w:tmpl w:val="ACACB30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5235"/>
    <w:multiLevelType w:val="hybridMultilevel"/>
    <w:tmpl w:val="0F86D3A8"/>
    <w:lvl w:ilvl="0" w:tplc="023AC4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1343A"/>
    <w:multiLevelType w:val="hybridMultilevel"/>
    <w:tmpl w:val="A412EC8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087B41"/>
    <w:multiLevelType w:val="hybridMultilevel"/>
    <w:tmpl w:val="91085752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D47B9"/>
    <w:multiLevelType w:val="hybridMultilevel"/>
    <w:tmpl w:val="7402E7B2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2E59B5"/>
    <w:multiLevelType w:val="hybridMultilevel"/>
    <w:tmpl w:val="5BF42D5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F06230"/>
    <w:multiLevelType w:val="hybridMultilevel"/>
    <w:tmpl w:val="47AADC2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242278"/>
    <w:multiLevelType w:val="hybridMultilevel"/>
    <w:tmpl w:val="372E5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15092"/>
    <w:multiLevelType w:val="hybridMultilevel"/>
    <w:tmpl w:val="6B983C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CF22E7"/>
    <w:multiLevelType w:val="hybridMultilevel"/>
    <w:tmpl w:val="82D0E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19465D"/>
    <w:multiLevelType w:val="hybridMultilevel"/>
    <w:tmpl w:val="61AA1F32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73FE5"/>
    <w:multiLevelType w:val="hybridMultilevel"/>
    <w:tmpl w:val="5186094E"/>
    <w:lvl w:ilvl="0" w:tplc="9E1E74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82598B"/>
    <w:multiLevelType w:val="hybridMultilevel"/>
    <w:tmpl w:val="47E4545A"/>
    <w:lvl w:ilvl="0" w:tplc="9B6053BC">
      <w:start w:val="1"/>
      <w:numFmt w:val="bullet"/>
      <w:lvlText w:val="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4FCE4E94"/>
    <w:multiLevelType w:val="hybridMultilevel"/>
    <w:tmpl w:val="B22AAA74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EE44A5"/>
    <w:multiLevelType w:val="hybridMultilevel"/>
    <w:tmpl w:val="6144F780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060640"/>
    <w:multiLevelType w:val="hybridMultilevel"/>
    <w:tmpl w:val="EE8C3A2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AB50B9"/>
    <w:multiLevelType w:val="multilevel"/>
    <w:tmpl w:val="A20AE326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A680080"/>
    <w:multiLevelType w:val="hybridMultilevel"/>
    <w:tmpl w:val="979CB13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8C074D"/>
    <w:multiLevelType w:val="hybridMultilevel"/>
    <w:tmpl w:val="915A9F6E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4442DC"/>
    <w:multiLevelType w:val="hybridMultilevel"/>
    <w:tmpl w:val="4FBC32C6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A10CB6"/>
    <w:multiLevelType w:val="multilevel"/>
    <w:tmpl w:val="9BE87A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6E544BD0"/>
    <w:multiLevelType w:val="hybridMultilevel"/>
    <w:tmpl w:val="B66A9FAE"/>
    <w:lvl w:ilvl="0" w:tplc="023AC4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6"/>
  </w:num>
  <w:num w:numId="5">
    <w:abstractNumId w:val="4"/>
  </w:num>
  <w:num w:numId="6">
    <w:abstractNumId w:val="22"/>
  </w:num>
  <w:num w:numId="7">
    <w:abstractNumId w:val="2"/>
  </w:num>
  <w:num w:numId="8">
    <w:abstractNumId w:val="0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18"/>
  </w:num>
  <w:num w:numId="16">
    <w:abstractNumId w:val="11"/>
  </w:num>
  <w:num w:numId="17">
    <w:abstractNumId w:val="1"/>
  </w:num>
  <w:num w:numId="18">
    <w:abstractNumId w:val="9"/>
  </w:num>
  <w:num w:numId="19">
    <w:abstractNumId w:val="16"/>
  </w:num>
  <w:num w:numId="20">
    <w:abstractNumId w:val="15"/>
  </w:num>
  <w:num w:numId="21">
    <w:abstractNumId w:val="3"/>
  </w:num>
  <w:num w:numId="22">
    <w:abstractNumId w:val="12"/>
  </w:num>
  <w:num w:numId="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</w:num>
  <w:num w:numId="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E5"/>
    <w:rsid w:val="00013400"/>
    <w:rsid w:val="00015EA2"/>
    <w:rsid w:val="000317E3"/>
    <w:rsid w:val="000701FB"/>
    <w:rsid w:val="00085CAB"/>
    <w:rsid w:val="00091681"/>
    <w:rsid w:val="000A223D"/>
    <w:rsid w:val="000B428C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A7FEB"/>
    <w:rsid w:val="002E0A23"/>
    <w:rsid w:val="00302668"/>
    <w:rsid w:val="00304446"/>
    <w:rsid w:val="00322567"/>
    <w:rsid w:val="00330736"/>
    <w:rsid w:val="00341317"/>
    <w:rsid w:val="0036079B"/>
    <w:rsid w:val="003D58A1"/>
    <w:rsid w:val="003F2A5D"/>
    <w:rsid w:val="004243FB"/>
    <w:rsid w:val="00425B63"/>
    <w:rsid w:val="00426DAA"/>
    <w:rsid w:val="0042705B"/>
    <w:rsid w:val="004578EE"/>
    <w:rsid w:val="00482741"/>
    <w:rsid w:val="00490819"/>
    <w:rsid w:val="004B0663"/>
    <w:rsid w:val="004D2066"/>
    <w:rsid w:val="004D4D4B"/>
    <w:rsid w:val="005113AD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F4040"/>
    <w:rsid w:val="006232C1"/>
    <w:rsid w:val="0063165E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B63B9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615DE"/>
    <w:rsid w:val="00883349"/>
    <w:rsid w:val="008D331D"/>
    <w:rsid w:val="008F26C4"/>
    <w:rsid w:val="008F5EB8"/>
    <w:rsid w:val="00954757"/>
    <w:rsid w:val="00970BB1"/>
    <w:rsid w:val="00987D9A"/>
    <w:rsid w:val="00993A67"/>
    <w:rsid w:val="00994D11"/>
    <w:rsid w:val="009A62C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6665F"/>
    <w:rsid w:val="00C81CBA"/>
    <w:rsid w:val="00CC7F1E"/>
    <w:rsid w:val="00CF66FB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7F29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6F62"/>
    <w:rsid w:val="00F96320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">
    <w:name w:val="Subtitle"/>
    <w:basedOn w:val="a6"/>
    <w:next w:val="a0"/>
    <w:link w:val="a7"/>
    <w:uiPriority w:val="11"/>
    <w:qFormat/>
    <w:rsid w:val="00F96320"/>
    <w:pPr>
      <w:numPr>
        <w:ilvl w:val="2"/>
        <w:numId w:val="1"/>
      </w:numPr>
      <w:spacing w:after="0" w:line="360" w:lineRule="auto"/>
    </w:pPr>
    <w:rPr>
      <w:rFonts w:ascii="Times New Roman" w:hAnsi="Times New Roman" w:cs="Times New Roman"/>
      <w:b/>
      <w:sz w:val="28"/>
    </w:rPr>
  </w:style>
  <w:style w:type="character" w:customStyle="1" w:styleId="a7">
    <w:name w:val="Подзаголовок Знак"/>
    <w:basedOn w:val="a2"/>
    <w:link w:val="a"/>
    <w:uiPriority w:val="11"/>
    <w:rsid w:val="00F96320"/>
    <w:rPr>
      <w:rFonts w:ascii="Times New Roman" w:hAnsi="Times New Roman" w:cs="Times New Roman"/>
      <w:b/>
      <w:sz w:val="28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8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9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b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c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3BB6-1D60-4719-8015-484478E8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128</cp:revision>
  <dcterms:created xsi:type="dcterms:W3CDTF">2022-05-16T06:19:00Z</dcterms:created>
  <dcterms:modified xsi:type="dcterms:W3CDTF">2023-03-02T09:10:00Z</dcterms:modified>
</cp:coreProperties>
</file>