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53" w:rsidRDefault="00FB254A">
      <w:pPr>
        <w:spacing w:before="240" w:after="240"/>
        <w:rPr>
          <w:b/>
        </w:rPr>
      </w:pPr>
      <w:r>
        <w:rPr>
          <w:b/>
        </w:rPr>
        <w:t>Introduction</w:t>
      </w:r>
    </w:p>
    <w:p w:rsidR="00922953" w:rsidRDefault="00FB254A">
      <w:pPr>
        <w:spacing w:before="240" w:after="240"/>
      </w:pPr>
      <w:r>
        <w:t>obesity</w:t>
      </w:r>
      <w:r>
        <w:t xml:space="preserve"> is a significant global health concern, contributing to various chronic diseases such as cardiovascular ailments, diabetes, and certain cancers. Accurate prediction of obesity risk is crucial for early intervention and effective management. T</w:t>
      </w:r>
      <w:r>
        <w:t>his report expl</w:t>
      </w:r>
      <w:r>
        <w:t xml:space="preserve">ores the application of machine learning models to predict obesity risk, utilizing a dataset encompassing various factors influencing obesity. </w:t>
      </w:r>
    </w:p>
    <w:p w:rsidR="00922953" w:rsidRDefault="00FB254A">
      <w:pPr>
        <w:spacing w:before="240" w:after="240"/>
        <w:rPr>
          <w:b/>
        </w:rPr>
      </w:pPr>
      <w:r>
        <w:rPr>
          <w:b/>
        </w:rPr>
        <w:t>Data Description and Preprocessing</w:t>
      </w:r>
    </w:p>
    <w:p w:rsidR="00922953" w:rsidRDefault="00FB254A">
      <w:pPr>
        <w:spacing w:before="240" w:after="240"/>
      </w:pPr>
      <w:r>
        <w:t>The dataset, sourced from Mexico, Peru, Colombia (</w:t>
      </w:r>
      <w:hyperlink r:id="rId5">
        <w:r>
          <w:rPr>
            <w:color w:val="1155CC"/>
            <w:u w:val="single"/>
          </w:rPr>
          <w:t>https://archive.ics.uci.edu/dataset/544/estimation+of+obesity+levels+based+on+eating+habits+and+physical+condition</w:t>
        </w:r>
      </w:hyperlink>
      <w:r>
        <w:t>), comprises features related to di</w:t>
      </w:r>
      <w:r>
        <w:t>etary habits, physical activity, and other factors influencing obesity. K</w:t>
      </w:r>
      <w:r>
        <w:t xml:space="preserve">ey features include demographic information (age, gender), physical measurements (height, weight), eating habits (frequency of high-caloric food intake), and physical activity levels. </w:t>
      </w:r>
      <w:r>
        <w:t>The target variable categorizes individuals into different obesity levels defined by the World Health Organization. Before analysis, data preprocessing steps were undertaken to ensure quality and consistency. T</w:t>
      </w:r>
      <w:r>
        <w:t>his involved handling missing values, encoding c</w:t>
      </w:r>
      <w:r>
        <w:t xml:space="preserve">ategorical variables, and normalizing numerical features to facilitate practical model training. </w:t>
      </w:r>
    </w:p>
    <w:p w:rsidR="00922953" w:rsidRDefault="00FB254A">
      <w:pPr>
        <w:spacing w:before="240" w:after="240"/>
        <w:rPr>
          <w:b/>
        </w:rPr>
      </w:pPr>
      <w:r>
        <w:rPr>
          <w:b/>
        </w:rPr>
        <w:t>Exploratory Data Analysis</w:t>
      </w:r>
    </w:p>
    <w:p w:rsidR="00922953" w:rsidRDefault="00FB254A">
      <w:pPr>
        <w:spacing w:before="240" w:after="240"/>
      </w:pPr>
      <w:r>
        <w:t>Exploratory Data Analysis (EDA) was conducted to uncover patterns and relationships within the data. Visualizations revealed correla</w:t>
      </w:r>
      <w:r>
        <w:t>tions between specific features and obesity levels. For instance, a higher frequency of high-calorie food intake and lower physical activity levels were associated with increased obesity risk. These insights guided the feature selection process for model d</w:t>
      </w:r>
      <w:r>
        <w:t xml:space="preserve">evelopment. </w:t>
      </w:r>
    </w:p>
    <w:p w:rsidR="00922953" w:rsidRDefault="00FB254A">
      <w:pPr>
        <w:spacing w:before="240" w:after="240"/>
        <w:rPr>
          <w:b/>
        </w:rPr>
      </w:pPr>
      <w:r>
        <w:rPr>
          <w:b/>
        </w:rPr>
        <w:t>Model Development and Evaluation</w:t>
      </w:r>
    </w:p>
    <w:p w:rsidR="00922953" w:rsidRDefault="00FB254A">
      <w:pPr>
        <w:spacing w:before="240" w:after="240"/>
      </w:pPr>
      <w:r>
        <w:t xml:space="preserve">our machine learning models were developed to predict obesity risk: Random Forest, </w:t>
      </w:r>
      <w:proofErr w:type="spellStart"/>
      <w:r>
        <w:t>XGBoost</w:t>
      </w:r>
      <w:proofErr w:type="spellEnd"/>
      <w:r>
        <w:t>, Decision Tree, and Gradient Boosting</w:t>
      </w:r>
      <w:r>
        <w:t>. T</w:t>
      </w:r>
      <w:r>
        <w:t>he performance of these models was evaluated using metrics such as accuracy, prec</w:t>
      </w:r>
      <w:r>
        <w:t>ision, recall, and F1 score.</w:t>
      </w:r>
    </w:p>
    <w:p w:rsidR="00FB254A" w:rsidRDefault="00FB254A">
      <w:pPr>
        <w:spacing w:before="240" w:after="240"/>
      </w:pPr>
    </w:p>
    <w:p w:rsidR="00FB254A" w:rsidRDefault="00FB254A">
      <w:pPr>
        <w:spacing w:before="240" w:after="240"/>
      </w:pPr>
    </w:p>
    <w:p w:rsidR="00FB254A" w:rsidRDefault="00FB254A">
      <w:pPr>
        <w:spacing w:before="240" w:after="240"/>
      </w:pPr>
    </w:p>
    <w:p w:rsidR="00FB254A" w:rsidRDefault="00FB254A">
      <w:pPr>
        <w:spacing w:before="240" w:after="240"/>
      </w:pP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1275"/>
        <w:gridCol w:w="1245"/>
        <w:gridCol w:w="900"/>
        <w:gridCol w:w="900"/>
      </w:tblGrid>
      <w:tr w:rsidR="00922953">
        <w:trPr>
          <w:trHeight w:val="77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Pr>
              <w:jc w:val="center"/>
            </w:pPr>
            <w:r>
              <w:rPr>
                <w:b/>
              </w:rPr>
              <w:lastRenderedPageBreak/>
              <w:t>Model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Pr>
              <w:jc w:val="center"/>
            </w:pPr>
            <w:r>
              <w:rPr>
                <w:b/>
              </w:rPr>
              <w:t>Accuracy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Pr>
              <w:jc w:val="center"/>
            </w:pPr>
            <w:r>
              <w:rPr>
                <w:b/>
              </w:rPr>
              <w:t>Precision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Pr>
              <w:jc w:val="center"/>
            </w:pPr>
            <w:r>
              <w:rPr>
                <w:b/>
              </w:rPr>
              <w:t>Recall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Pr>
              <w:jc w:val="center"/>
            </w:pPr>
            <w:r>
              <w:rPr>
                <w:b/>
              </w:rPr>
              <w:t>F1 Score</w:t>
            </w:r>
          </w:p>
        </w:tc>
      </w:tr>
      <w:tr w:rsidR="00922953">
        <w:trPr>
          <w:trHeight w:val="5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Random Forest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0.9871</w:t>
            </w:r>
          </w:p>
        </w:tc>
      </w:tr>
      <w:tr w:rsidR="00922953">
        <w:trPr>
          <w:trHeight w:val="5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proofErr w:type="spellStart"/>
            <w:r>
              <w:t>XGBoost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1.0000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0.9974</w:t>
            </w:r>
          </w:p>
        </w:tc>
      </w:tr>
      <w:tr w:rsidR="00922953">
        <w:trPr>
          <w:trHeight w:val="5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Decision Tree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1.0000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0.9922</w:t>
            </w:r>
          </w:p>
        </w:tc>
      </w:tr>
      <w:tr w:rsidR="00922953">
        <w:trPr>
          <w:trHeight w:val="5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Gradient Boosting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953" w:rsidRDefault="00FB254A">
            <w:r>
              <w:t>0.9949</w:t>
            </w:r>
          </w:p>
        </w:tc>
      </w:tr>
      <w:tr w:rsidR="00FB254A">
        <w:trPr>
          <w:trHeight w:val="50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Pr="00FB254A" w:rsidRDefault="00FB254A" w:rsidP="00FB254A">
            <w:pPr>
              <w:rPr>
                <w:b/>
              </w:rPr>
            </w:pPr>
            <w:r w:rsidRPr="00FB254A">
              <w:rPr>
                <w:b/>
              </w:rPr>
              <w:t>Conclusion</w:t>
            </w:r>
          </w:p>
          <w:p w:rsidR="00FB254A" w:rsidRDefault="00FB254A" w:rsidP="00FB254A">
            <w:r w:rsidRPr="00FB254A">
              <w:t xml:space="preserve">Based on the combined evaluation of performance metrics, ROC and AUC scores, as well as the cross-validation results, </w:t>
            </w:r>
            <w:proofErr w:type="spellStart"/>
            <w:r w:rsidRPr="00FB254A">
              <w:t>XGBoost</w:t>
            </w:r>
            <w:proofErr w:type="spellEnd"/>
            <w:r w:rsidRPr="00FB254A">
              <w:t xml:space="preserve"> emerges as the best model for predicting the risk of obesity. It consistently demonstrated high performance, making it the most reliable and effective models among the ones evaluated.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</w:tr>
      <w:tr w:rsidR="00FB254A">
        <w:trPr>
          <w:trHeight w:val="158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</w:tr>
      <w:tr w:rsidR="00FB254A">
        <w:trPr>
          <w:trHeight w:val="158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</w:tr>
      <w:tr w:rsidR="00FB254A">
        <w:trPr>
          <w:trHeight w:val="158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</w:tr>
      <w:tr w:rsidR="00FB254A">
        <w:trPr>
          <w:trHeight w:val="107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4A" w:rsidRDefault="00FB254A" w:rsidP="00FB254A"/>
        </w:tc>
      </w:tr>
    </w:tbl>
    <w:p w:rsidR="00922953" w:rsidRDefault="00FB254A">
      <w:pPr>
        <w:spacing w:before="240" w:after="240"/>
      </w:pPr>
      <w:r>
        <w:lastRenderedPageBreak/>
        <w:t>.</w:t>
      </w:r>
    </w:p>
    <w:p w:rsidR="00922953" w:rsidRDefault="00922953"/>
    <w:sectPr w:rsidR="00922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53"/>
    <w:rsid w:val="00922953"/>
    <w:rsid w:val="00F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6E3B"/>
  <w15:docId w15:val="{69F4D330-EDC2-4E6A-985D-95829454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44/estimation+of+obesity+levels+based+on+eating+habits+and+physical+con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AB6F-2739-41A8-9BB3-A99229DB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Arman</cp:lastModifiedBy>
  <cp:revision>2</cp:revision>
  <dcterms:created xsi:type="dcterms:W3CDTF">2025-02-01T02:33:00Z</dcterms:created>
  <dcterms:modified xsi:type="dcterms:W3CDTF">2025-02-01T02:36:00Z</dcterms:modified>
</cp:coreProperties>
</file>