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4BBE" w:rsidRDefault="001B4BBE" w:rsidP="001B4BBE">
      <w:pPr>
        <w:pStyle w:val="NormalWeb"/>
      </w:pPr>
      <w:r>
        <w:t>The DPP Law failure was one of classification rather than timing. The firm did not consider that loss of access to personal data constituted a personal data breach, and so did not start the notification process at all. The 72-Hour Breach Tracker begins its clock when an incident is logged, which presupposes that someone has already judged it reportable. The artefact therefore addresses the deadline but not the judgement preceding it.</w:t>
      </w:r>
    </w:p>
    <w:p w:rsidR="001B4BBE" w:rsidRDefault="001B4BBE" w:rsidP="001B4BBE">
      <w:pPr>
        <w:pStyle w:val="NormalWeb"/>
      </w:pPr>
      <w:r>
        <w:t>What the replay demonstrates is narrower and still useful: once logged, the elapsed time is visible, the deadline is enforced, and a notification made after 72 hours is recorded as late rather than displayed as compliant. The last of these is the correction of finding F1, and it is what would have made the 43-day delay visible internally rather than only in retrospect.</w:t>
      </w:r>
    </w:p>
    <w:p w:rsidR="001B4BBE" w:rsidRDefault="001B4BBE" w:rsidP="001B4BBE">
      <w:pPr>
        <w:pStyle w:val="NormalWeb"/>
      </w:pPr>
      <w:r>
        <w:t>DPP Law is a law firm, not a local authority, and sits outside the council population the artefact targets. It is included because it is the clearest recent UK enforcement on Article 33(1) timing.</w:t>
      </w:r>
    </w:p>
    <w:p w:rsidR="00C354CC" w:rsidRDefault="00C354CC">
      <w:bookmarkStart w:id="0" w:name="_GoBack"/>
      <w:bookmarkEnd w:id="0"/>
    </w:p>
    <w:sectPr w:rsidR="00C354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524"/>
    <w:rsid w:val="001B4BBE"/>
    <w:rsid w:val="002E5524"/>
    <w:rsid w:val="00C35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5D49CF-98D1-455B-AE52-A5A05719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4BB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82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Nahian Omar</dc:creator>
  <cp:keywords/>
  <dc:description/>
  <cp:lastModifiedBy>Nahian Omar</cp:lastModifiedBy>
  <cp:revision>3</cp:revision>
  <dcterms:created xsi:type="dcterms:W3CDTF">2026-09-01T17:10:00Z</dcterms:created>
  <dcterms:modified xsi:type="dcterms:W3CDTF">2026-09-01T17:10:00Z</dcterms:modified>
</cp:coreProperties>
</file>