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2CB78" w14:textId="77777777" w:rsidR="00264F6C" w:rsidRPr="00264F6C" w:rsidRDefault="00264F6C" w:rsidP="00264F6C">
      <w:pPr>
        <w:spacing w:after="0" w:line="480" w:lineRule="auto"/>
        <w:jc w:val="center"/>
        <w:rPr>
          <w:rFonts w:ascii="Times New Roman" w:hAnsi="Times New Roman" w:cs="Times New Roman"/>
          <w:b/>
          <w:bCs/>
        </w:rPr>
      </w:pPr>
      <w:r w:rsidRPr="00264F6C">
        <w:rPr>
          <w:rFonts w:ascii="Times New Roman" w:hAnsi="Times New Roman" w:cs="Times New Roman"/>
          <w:b/>
          <w:bCs/>
        </w:rPr>
        <w:t>Coaching &amp; Communication Toolkit</w:t>
      </w:r>
    </w:p>
    <w:p w14:paraId="69E4B40D" w14:textId="338BB2BF" w:rsidR="00264F6C" w:rsidRPr="00264F6C" w:rsidRDefault="00264F6C" w:rsidP="00264F6C">
      <w:pPr>
        <w:spacing w:after="0" w:line="480" w:lineRule="auto"/>
        <w:jc w:val="center"/>
        <w:rPr>
          <w:rFonts w:ascii="Times New Roman" w:hAnsi="Times New Roman" w:cs="Times New Roman"/>
        </w:rPr>
      </w:pPr>
      <w:r w:rsidRPr="00264F6C">
        <w:rPr>
          <w:rFonts w:ascii="Times New Roman" w:hAnsi="Times New Roman" w:cs="Times New Roman"/>
          <w:b/>
          <w:bCs/>
        </w:rPr>
        <w:t xml:space="preserve">Krishna Vas </w:t>
      </w:r>
      <w:proofErr w:type="spellStart"/>
      <w:r w:rsidRPr="00264F6C">
        <w:rPr>
          <w:rFonts w:ascii="Times New Roman" w:hAnsi="Times New Roman" w:cs="Times New Roman"/>
          <w:b/>
          <w:bCs/>
        </w:rPr>
        <w:t>Azimera</w:t>
      </w:r>
      <w:proofErr w:type="spellEnd"/>
      <w:r w:rsidRPr="00264F6C">
        <w:rPr>
          <w:rFonts w:ascii="Times New Roman" w:hAnsi="Times New Roman" w:cs="Times New Roman"/>
          <w:b/>
          <w:bCs/>
        </w:rPr>
        <w:t>– IT Supervisor Readiness Portfolio</w:t>
      </w:r>
    </w:p>
    <w:p w14:paraId="6DC978C1"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1. Purpose</w:t>
      </w:r>
    </w:p>
    <w:p w14:paraId="652A7939" w14:textId="77777777" w:rsidR="00264F6C" w:rsidRPr="00264F6C" w:rsidRDefault="00264F6C" w:rsidP="00264F6C">
      <w:pPr>
        <w:spacing w:after="0" w:line="480" w:lineRule="auto"/>
        <w:ind w:firstLine="720"/>
        <w:rPr>
          <w:rFonts w:ascii="Times New Roman" w:hAnsi="Times New Roman" w:cs="Times New Roman"/>
        </w:rPr>
      </w:pPr>
      <w:r w:rsidRPr="00264F6C">
        <w:rPr>
          <w:rFonts w:ascii="Times New Roman" w:hAnsi="Times New Roman" w:cs="Times New Roman"/>
        </w:rPr>
        <w:t>The Coaching &amp; Communication Toolkit serves as a comprehensive guide for IT supervisors to foster effective communication, promote team development, and maintain high performance standards. In the fast-paced IT environment, leaders are required to not only manage technology but also inspire and guide people. This toolkit outlines structured approaches for providing feedback, setting clear goals, and ensuring smooth information flow across all levels of the organization. It integrates leadership best practices with proven communication frameworks to align team performance with organizational objectives while also creating a positive and inclusive workplace culture (Northouse, 2021).</w:t>
      </w:r>
    </w:p>
    <w:p w14:paraId="34A2E586"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2. Core Coaching Principles</w:t>
      </w:r>
    </w:p>
    <w:p w14:paraId="684C2510"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Successful IT leadership rests on a foundation of strong coaching principles. These include:</w:t>
      </w:r>
    </w:p>
    <w:p w14:paraId="4C36B96B" w14:textId="77777777" w:rsidR="00264F6C" w:rsidRPr="00264F6C" w:rsidRDefault="00264F6C" w:rsidP="00264F6C">
      <w:pPr>
        <w:numPr>
          <w:ilvl w:val="0"/>
          <w:numId w:val="1"/>
        </w:numPr>
        <w:spacing w:after="0" w:line="480" w:lineRule="auto"/>
        <w:rPr>
          <w:rFonts w:ascii="Times New Roman" w:hAnsi="Times New Roman" w:cs="Times New Roman"/>
        </w:rPr>
      </w:pPr>
      <w:r w:rsidRPr="00264F6C">
        <w:rPr>
          <w:rFonts w:ascii="Times New Roman" w:hAnsi="Times New Roman" w:cs="Times New Roman"/>
          <w:b/>
          <w:bCs/>
        </w:rPr>
        <w:t>Active Listening:</w:t>
      </w:r>
      <w:r w:rsidRPr="00264F6C">
        <w:rPr>
          <w:rFonts w:ascii="Times New Roman" w:hAnsi="Times New Roman" w:cs="Times New Roman"/>
        </w:rPr>
        <w:t xml:space="preserve"> Active listening is the ability to focus fully on the speaker, understand their message, and respond thoughtfully. This involves avoiding interruptions, paraphrasing for clarity, and asking open-ended questions to encourage discussion. Active listening fosters trust and strengthens relationships, making it easier to resolve misunderstandings and guide performance (Goleman, 2017).</w:t>
      </w:r>
    </w:p>
    <w:p w14:paraId="6A741935" w14:textId="77777777" w:rsidR="00264F6C" w:rsidRPr="00264F6C" w:rsidRDefault="00264F6C" w:rsidP="00264F6C">
      <w:pPr>
        <w:numPr>
          <w:ilvl w:val="0"/>
          <w:numId w:val="1"/>
        </w:numPr>
        <w:spacing w:after="0" w:line="480" w:lineRule="auto"/>
        <w:rPr>
          <w:rFonts w:ascii="Times New Roman" w:hAnsi="Times New Roman" w:cs="Times New Roman"/>
        </w:rPr>
      </w:pPr>
      <w:r w:rsidRPr="00264F6C">
        <w:rPr>
          <w:rFonts w:ascii="Times New Roman" w:hAnsi="Times New Roman" w:cs="Times New Roman"/>
          <w:b/>
          <w:bCs/>
        </w:rPr>
        <w:t>Constructive Feedback:</w:t>
      </w:r>
      <w:r w:rsidRPr="00264F6C">
        <w:rPr>
          <w:rFonts w:ascii="Times New Roman" w:hAnsi="Times New Roman" w:cs="Times New Roman"/>
        </w:rPr>
        <w:t xml:space="preserve"> Feedback should be direct yet supportive, highlighting strengths while addressing areas of improvement. It must be specific, actionable, and timely to have maximum impact. Constructive feedback boosts morale and helps employees adjust behaviors before issues escalate (Gallup, 2023).</w:t>
      </w:r>
    </w:p>
    <w:p w14:paraId="02F7F035" w14:textId="77777777" w:rsidR="00264F6C" w:rsidRPr="00264F6C" w:rsidRDefault="00264F6C" w:rsidP="00264F6C">
      <w:pPr>
        <w:numPr>
          <w:ilvl w:val="0"/>
          <w:numId w:val="1"/>
        </w:numPr>
        <w:spacing w:after="0" w:line="480" w:lineRule="auto"/>
        <w:rPr>
          <w:rFonts w:ascii="Times New Roman" w:hAnsi="Times New Roman" w:cs="Times New Roman"/>
        </w:rPr>
      </w:pPr>
      <w:r w:rsidRPr="00264F6C">
        <w:rPr>
          <w:rFonts w:ascii="Times New Roman" w:hAnsi="Times New Roman" w:cs="Times New Roman"/>
          <w:b/>
          <w:bCs/>
        </w:rPr>
        <w:lastRenderedPageBreak/>
        <w:t>Goal Alignment:</w:t>
      </w:r>
      <w:r w:rsidRPr="00264F6C">
        <w:rPr>
          <w:rFonts w:ascii="Times New Roman" w:hAnsi="Times New Roman" w:cs="Times New Roman"/>
        </w:rPr>
        <w:t xml:space="preserve"> Linking individual goals to organizational strategies ensures that every team member’s work contributes to the larger mission. This alignment improves motivation, as employees clearly see how their contributions matter (Kaplan &amp; Norton, 2004).</w:t>
      </w:r>
    </w:p>
    <w:p w14:paraId="7CC6CE95" w14:textId="77777777" w:rsidR="00264F6C" w:rsidRPr="00264F6C" w:rsidRDefault="00264F6C" w:rsidP="00264F6C">
      <w:pPr>
        <w:numPr>
          <w:ilvl w:val="0"/>
          <w:numId w:val="1"/>
        </w:numPr>
        <w:spacing w:after="0" w:line="480" w:lineRule="auto"/>
        <w:rPr>
          <w:rFonts w:ascii="Times New Roman" w:hAnsi="Times New Roman" w:cs="Times New Roman"/>
        </w:rPr>
      </w:pPr>
      <w:r w:rsidRPr="00264F6C">
        <w:rPr>
          <w:rFonts w:ascii="Times New Roman" w:hAnsi="Times New Roman" w:cs="Times New Roman"/>
          <w:b/>
          <w:bCs/>
        </w:rPr>
        <w:t>Empowerment:</w:t>
      </w:r>
      <w:r w:rsidRPr="00264F6C">
        <w:rPr>
          <w:rFonts w:ascii="Times New Roman" w:hAnsi="Times New Roman" w:cs="Times New Roman"/>
        </w:rPr>
        <w:t xml:space="preserve"> Empowerment involves giving employees both </w:t>
      </w:r>
      <w:proofErr w:type="gramStart"/>
      <w:r w:rsidRPr="00264F6C">
        <w:rPr>
          <w:rFonts w:ascii="Times New Roman" w:hAnsi="Times New Roman" w:cs="Times New Roman"/>
        </w:rPr>
        <w:t>the authority</w:t>
      </w:r>
      <w:proofErr w:type="gramEnd"/>
      <w:r w:rsidRPr="00264F6C">
        <w:rPr>
          <w:rFonts w:ascii="Times New Roman" w:hAnsi="Times New Roman" w:cs="Times New Roman"/>
        </w:rPr>
        <w:t xml:space="preserve"> and the responsibility to make decisions related to their work. It promotes ownership, innovation, and faster problem-solving while freeing supervisors to focus on strategic priorities (Northouse, 2021).</w:t>
      </w:r>
    </w:p>
    <w:p w14:paraId="71F02636" w14:textId="77777777" w:rsidR="00264F6C" w:rsidRPr="00264F6C" w:rsidRDefault="00264F6C" w:rsidP="00264F6C">
      <w:pPr>
        <w:numPr>
          <w:ilvl w:val="0"/>
          <w:numId w:val="1"/>
        </w:numPr>
        <w:spacing w:after="0" w:line="480" w:lineRule="auto"/>
        <w:rPr>
          <w:rFonts w:ascii="Times New Roman" w:hAnsi="Times New Roman" w:cs="Times New Roman"/>
        </w:rPr>
      </w:pPr>
      <w:r w:rsidRPr="00264F6C">
        <w:rPr>
          <w:rFonts w:ascii="Times New Roman" w:hAnsi="Times New Roman" w:cs="Times New Roman"/>
          <w:b/>
          <w:bCs/>
        </w:rPr>
        <w:t>Continuous Development:</w:t>
      </w:r>
      <w:r w:rsidRPr="00264F6C">
        <w:rPr>
          <w:rFonts w:ascii="Times New Roman" w:hAnsi="Times New Roman" w:cs="Times New Roman"/>
        </w:rPr>
        <w:t xml:space="preserve"> The IT industry evolves rapidly, making ongoing professional development essential. Leaders should encourage participation in certifications, workshops, and training programs. This benefits both the organization, through improved technical expertise, and employees, by enhancing career prospects (Society for Human Resource Management [SHRM], 2022).</w:t>
      </w:r>
    </w:p>
    <w:p w14:paraId="2B6622DF"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3. Communication Framework</w:t>
      </w:r>
    </w:p>
    <w:p w14:paraId="0854824F"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A clear communication framework ensures everyone is informed, aligned, and accountable.</w:t>
      </w:r>
    </w:p>
    <w:p w14:paraId="2D17B424" w14:textId="77777777" w:rsidR="00264F6C" w:rsidRPr="00264F6C" w:rsidRDefault="00264F6C" w:rsidP="00264F6C">
      <w:pPr>
        <w:numPr>
          <w:ilvl w:val="0"/>
          <w:numId w:val="2"/>
        </w:numPr>
        <w:spacing w:after="0" w:line="480" w:lineRule="auto"/>
        <w:rPr>
          <w:rFonts w:ascii="Times New Roman" w:hAnsi="Times New Roman" w:cs="Times New Roman"/>
        </w:rPr>
      </w:pPr>
      <w:r w:rsidRPr="00264F6C">
        <w:rPr>
          <w:rFonts w:ascii="Times New Roman" w:hAnsi="Times New Roman" w:cs="Times New Roman"/>
          <w:b/>
          <w:bCs/>
        </w:rPr>
        <w:t>Daily Stand-Ups:</w:t>
      </w:r>
      <w:r w:rsidRPr="00264F6C">
        <w:rPr>
          <w:rFonts w:ascii="Times New Roman" w:hAnsi="Times New Roman" w:cs="Times New Roman"/>
        </w:rPr>
        <w:t xml:space="preserve"> These short meetings, typically lasting 15 minutes, allow team members to share progress, identify roadblocks, and coordinate priorities. This agile practice keeps the team synchronized and proactive (Project Management Institute, 2021).</w:t>
      </w:r>
    </w:p>
    <w:p w14:paraId="01669FB3" w14:textId="77777777" w:rsidR="00264F6C" w:rsidRPr="00264F6C" w:rsidRDefault="00264F6C" w:rsidP="00264F6C">
      <w:pPr>
        <w:numPr>
          <w:ilvl w:val="0"/>
          <w:numId w:val="2"/>
        </w:numPr>
        <w:spacing w:after="0" w:line="480" w:lineRule="auto"/>
        <w:rPr>
          <w:rFonts w:ascii="Times New Roman" w:hAnsi="Times New Roman" w:cs="Times New Roman"/>
        </w:rPr>
      </w:pPr>
      <w:r w:rsidRPr="00264F6C">
        <w:rPr>
          <w:rFonts w:ascii="Times New Roman" w:hAnsi="Times New Roman" w:cs="Times New Roman"/>
          <w:b/>
          <w:bCs/>
        </w:rPr>
        <w:t>Weekly Team Briefings:</w:t>
      </w:r>
      <w:r w:rsidRPr="00264F6C">
        <w:rPr>
          <w:rFonts w:ascii="Times New Roman" w:hAnsi="Times New Roman" w:cs="Times New Roman"/>
        </w:rPr>
        <w:t xml:space="preserve"> A more detailed meeting, weekly briefings cover KPI progress, upcoming deadlines, and organizational announcements. This is the time for addressing non-urgent but important matters.</w:t>
      </w:r>
    </w:p>
    <w:p w14:paraId="5909489A" w14:textId="77777777" w:rsidR="00264F6C" w:rsidRPr="00264F6C" w:rsidRDefault="00264F6C" w:rsidP="00264F6C">
      <w:pPr>
        <w:numPr>
          <w:ilvl w:val="0"/>
          <w:numId w:val="2"/>
        </w:numPr>
        <w:spacing w:after="0" w:line="480" w:lineRule="auto"/>
        <w:rPr>
          <w:rFonts w:ascii="Times New Roman" w:hAnsi="Times New Roman" w:cs="Times New Roman"/>
        </w:rPr>
      </w:pPr>
      <w:r w:rsidRPr="00264F6C">
        <w:rPr>
          <w:rFonts w:ascii="Times New Roman" w:hAnsi="Times New Roman" w:cs="Times New Roman"/>
          <w:b/>
          <w:bCs/>
        </w:rPr>
        <w:lastRenderedPageBreak/>
        <w:t>Monthly One-on-Ones:</w:t>
      </w:r>
      <w:r w:rsidRPr="00264F6C">
        <w:rPr>
          <w:rFonts w:ascii="Times New Roman" w:hAnsi="Times New Roman" w:cs="Times New Roman"/>
        </w:rPr>
        <w:t xml:space="preserve"> Private sessions between supervisor and employee create a safe space to discuss performance, aspirations, and concerns. They are a key opportunity for personalized coaching and trust-building (Gallup, 2023).</w:t>
      </w:r>
    </w:p>
    <w:p w14:paraId="54332D16" w14:textId="77777777" w:rsidR="00264F6C" w:rsidRPr="00264F6C" w:rsidRDefault="00264F6C" w:rsidP="00264F6C">
      <w:pPr>
        <w:numPr>
          <w:ilvl w:val="0"/>
          <w:numId w:val="2"/>
        </w:numPr>
        <w:spacing w:after="0" w:line="480" w:lineRule="auto"/>
        <w:rPr>
          <w:rFonts w:ascii="Times New Roman" w:hAnsi="Times New Roman" w:cs="Times New Roman"/>
        </w:rPr>
      </w:pPr>
      <w:r w:rsidRPr="00264F6C">
        <w:rPr>
          <w:rFonts w:ascii="Times New Roman" w:hAnsi="Times New Roman" w:cs="Times New Roman"/>
          <w:b/>
          <w:bCs/>
        </w:rPr>
        <w:t>Incident Escalation Protocol:</w:t>
      </w:r>
      <w:r w:rsidRPr="00264F6C">
        <w:rPr>
          <w:rFonts w:ascii="Times New Roman" w:hAnsi="Times New Roman" w:cs="Times New Roman"/>
        </w:rPr>
        <w:t xml:space="preserve"> When emergencies arise, a predefined chain of escalation ensures quick action. Following ITIL guidelines, issues should be handled promptly at the lowest possible level, escalating only when necessary (Axelos, 2019).</w:t>
      </w:r>
    </w:p>
    <w:p w14:paraId="4A5594EF" w14:textId="77777777" w:rsidR="00264F6C" w:rsidRPr="00264F6C" w:rsidRDefault="00264F6C" w:rsidP="00264F6C">
      <w:pPr>
        <w:numPr>
          <w:ilvl w:val="0"/>
          <w:numId w:val="2"/>
        </w:numPr>
        <w:spacing w:after="0" w:line="480" w:lineRule="auto"/>
        <w:rPr>
          <w:rFonts w:ascii="Times New Roman" w:hAnsi="Times New Roman" w:cs="Times New Roman"/>
        </w:rPr>
      </w:pPr>
      <w:r w:rsidRPr="00264F6C">
        <w:rPr>
          <w:rFonts w:ascii="Times New Roman" w:hAnsi="Times New Roman" w:cs="Times New Roman"/>
          <w:b/>
          <w:bCs/>
        </w:rPr>
        <w:t>Transparent Reporting:</w:t>
      </w:r>
      <w:r w:rsidRPr="00264F6C">
        <w:rPr>
          <w:rFonts w:ascii="Times New Roman" w:hAnsi="Times New Roman" w:cs="Times New Roman"/>
        </w:rPr>
        <w:t xml:space="preserve"> Leaders should maintain a habit of openly sharing project status, risks, and lessons learned. Transparency promotes trust with both the team and external stakeholders (Northouse, 2021).</w:t>
      </w:r>
    </w:p>
    <w:p w14:paraId="2EA768DC"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4. Tools and Templates</w:t>
      </w:r>
    </w:p>
    <w:p w14:paraId="676E8993"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Standardized tools improve efficiency and consistency.</w:t>
      </w:r>
    </w:p>
    <w:p w14:paraId="16A0BB73" w14:textId="77777777" w:rsidR="00264F6C" w:rsidRPr="00264F6C" w:rsidRDefault="00264F6C" w:rsidP="00264F6C">
      <w:pPr>
        <w:numPr>
          <w:ilvl w:val="0"/>
          <w:numId w:val="3"/>
        </w:numPr>
        <w:spacing w:after="0" w:line="480" w:lineRule="auto"/>
        <w:rPr>
          <w:rFonts w:ascii="Times New Roman" w:hAnsi="Times New Roman" w:cs="Times New Roman"/>
        </w:rPr>
      </w:pPr>
      <w:r w:rsidRPr="00264F6C">
        <w:rPr>
          <w:rFonts w:ascii="Times New Roman" w:hAnsi="Times New Roman" w:cs="Times New Roman"/>
          <w:b/>
          <w:bCs/>
        </w:rPr>
        <w:t>Meeting Agenda Template</w:t>
      </w:r>
    </w:p>
    <w:p w14:paraId="2F43E599" w14:textId="77777777" w:rsidR="00264F6C" w:rsidRPr="00264F6C" w:rsidRDefault="00264F6C" w:rsidP="00264F6C">
      <w:pPr>
        <w:numPr>
          <w:ilvl w:val="1"/>
          <w:numId w:val="3"/>
        </w:numPr>
        <w:spacing w:after="0" w:line="480" w:lineRule="auto"/>
        <w:rPr>
          <w:rFonts w:ascii="Times New Roman" w:hAnsi="Times New Roman" w:cs="Times New Roman"/>
        </w:rPr>
      </w:pPr>
      <w:r w:rsidRPr="00264F6C">
        <w:rPr>
          <w:rFonts w:ascii="Times New Roman" w:hAnsi="Times New Roman" w:cs="Times New Roman"/>
        </w:rPr>
        <w:t>Date and time of meeting</w:t>
      </w:r>
    </w:p>
    <w:p w14:paraId="5ACBE89C" w14:textId="77777777" w:rsidR="00264F6C" w:rsidRPr="00264F6C" w:rsidRDefault="00264F6C" w:rsidP="00264F6C">
      <w:pPr>
        <w:numPr>
          <w:ilvl w:val="1"/>
          <w:numId w:val="3"/>
        </w:numPr>
        <w:spacing w:after="0" w:line="480" w:lineRule="auto"/>
        <w:rPr>
          <w:rFonts w:ascii="Times New Roman" w:hAnsi="Times New Roman" w:cs="Times New Roman"/>
        </w:rPr>
      </w:pPr>
      <w:r w:rsidRPr="00264F6C">
        <w:rPr>
          <w:rFonts w:ascii="Times New Roman" w:hAnsi="Times New Roman" w:cs="Times New Roman"/>
        </w:rPr>
        <w:t>List of participants</w:t>
      </w:r>
    </w:p>
    <w:p w14:paraId="5BA79431" w14:textId="77777777" w:rsidR="00264F6C" w:rsidRPr="00264F6C" w:rsidRDefault="00264F6C" w:rsidP="00264F6C">
      <w:pPr>
        <w:numPr>
          <w:ilvl w:val="1"/>
          <w:numId w:val="3"/>
        </w:numPr>
        <w:spacing w:after="0" w:line="480" w:lineRule="auto"/>
        <w:rPr>
          <w:rFonts w:ascii="Times New Roman" w:hAnsi="Times New Roman" w:cs="Times New Roman"/>
        </w:rPr>
      </w:pPr>
      <w:r w:rsidRPr="00264F6C">
        <w:rPr>
          <w:rFonts w:ascii="Times New Roman" w:hAnsi="Times New Roman" w:cs="Times New Roman"/>
        </w:rPr>
        <w:t>Discussion topics in priority order</w:t>
      </w:r>
    </w:p>
    <w:p w14:paraId="46ED0EBE" w14:textId="77777777" w:rsidR="00264F6C" w:rsidRPr="00264F6C" w:rsidRDefault="00264F6C" w:rsidP="00264F6C">
      <w:pPr>
        <w:numPr>
          <w:ilvl w:val="1"/>
          <w:numId w:val="3"/>
        </w:numPr>
        <w:spacing w:after="0" w:line="480" w:lineRule="auto"/>
        <w:rPr>
          <w:rFonts w:ascii="Times New Roman" w:hAnsi="Times New Roman" w:cs="Times New Roman"/>
        </w:rPr>
      </w:pPr>
      <w:r w:rsidRPr="00264F6C">
        <w:rPr>
          <w:rFonts w:ascii="Times New Roman" w:hAnsi="Times New Roman" w:cs="Times New Roman"/>
        </w:rPr>
        <w:t>Key notes and decisions</w:t>
      </w:r>
    </w:p>
    <w:p w14:paraId="0F5B5AEE" w14:textId="77777777" w:rsidR="00264F6C" w:rsidRPr="00264F6C" w:rsidRDefault="00264F6C" w:rsidP="00264F6C">
      <w:pPr>
        <w:numPr>
          <w:ilvl w:val="1"/>
          <w:numId w:val="3"/>
        </w:numPr>
        <w:spacing w:after="0" w:line="480" w:lineRule="auto"/>
        <w:rPr>
          <w:rFonts w:ascii="Times New Roman" w:hAnsi="Times New Roman" w:cs="Times New Roman"/>
        </w:rPr>
      </w:pPr>
      <w:r w:rsidRPr="00264F6C">
        <w:rPr>
          <w:rFonts w:ascii="Times New Roman" w:hAnsi="Times New Roman" w:cs="Times New Roman"/>
        </w:rPr>
        <w:t xml:space="preserve">Action items with responsible </w:t>
      </w:r>
      <w:proofErr w:type="gramStart"/>
      <w:r w:rsidRPr="00264F6C">
        <w:rPr>
          <w:rFonts w:ascii="Times New Roman" w:hAnsi="Times New Roman" w:cs="Times New Roman"/>
        </w:rPr>
        <w:t>persons</w:t>
      </w:r>
      <w:proofErr w:type="gramEnd"/>
      <w:r w:rsidRPr="00264F6C">
        <w:rPr>
          <w:rFonts w:ascii="Times New Roman" w:hAnsi="Times New Roman" w:cs="Times New Roman"/>
        </w:rPr>
        <w:t xml:space="preserve"> and due dates</w:t>
      </w:r>
    </w:p>
    <w:p w14:paraId="3EBC1003" w14:textId="77777777" w:rsidR="00264F6C" w:rsidRPr="00264F6C" w:rsidRDefault="00264F6C" w:rsidP="00264F6C">
      <w:pPr>
        <w:numPr>
          <w:ilvl w:val="0"/>
          <w:numId w:val="3"/>
        </w:numPr>
        <w:spacing w:after="0" w:line="480" w:lineRule="auto"/>
        <w:rPr>
          <w:rFonts w:ascii="Times New Roman" w:hAnsi="Times New Roman" w:cs="Times New Roman"/>
        </w:rPr>
      </w:pPr>
      <w:r w:rsidRPr="00264F6C">
        <w:rPr>
          <w:rFonts w:ascii="Times New Roman" w:hAnsi="Times New Roman" w:cs="Times New Roman"/>
          <w:b/>
          <w:bCs/>
        </w:rPr>
        <w:t>Feedback Form</w:t>
      </w:r>
    </w:p>
    <w:p w14:paraId="4FBF1BBB" w14:textId="77777777" w:rsidR="00264F6C" w:rsidRPr="00264F6C" w:rsidRDefault="00264F6C" w:rsidP="00264F6C">
      <w:pPr>
        <w:numPr>
          <w:ilvl w:val="1"/>
          <w:numId w:val="4"/>
        </w:numPr>
        <w:spacing w:after="0" w:line="480" w:lineRule="auto"/>
        <w:rPr>
          <w:rFonts w:ascii="Times New Roman" w:hAnsi="Times New Roman" w:cs="Times New Roman"/>
        </w:rPr>
      </w:pPr>
      <w:r w:rsidRPr="00264F6C">
        <w:rPr>
          <w:rFonts w:ascii="Times New Roman" w:hAnsi="Times New Roman" w:cs="Times New Roman"/>
        </w:rPr>
        <w:t>Situation: Outline the context.</w:t>
      </w:r>
    </w:p>
    <w:p w14:paraId="7197AA33" w14:textId="77777777" w:rsidR="00264F6C" w:rsidRPr="00264F6C" w:rsidRDefault="00264F6C" w:rsidP="00264F6C">
      <w:pPr>
        <w:numPr>
          <w:ilvl w:val="1"/>
          <w:numId w:val="4"/>
        </w:numPr>
        <w:spacing w:after="0" w:line="480" w:lineRule="auto"/>
        <w:rPr>
          <w:rFonts w:ascii="Times New Roman" w:hAnsi="Times New Roman" w:cs="Times New Roman"/>
        </w:rPr>
      </w:pPr>
      <w:r w:rsidRPr="00264F6C">
        <w:rPr>
          <w:rFonts w:ascii="Times New Roman" w:hAnsi="Times New Roman" w:cs="Times New Roman"/>
        </w:rPr>
        <w:t>Observation: Document positive and negative points.</w:t>
      </w:r>
    </w:p>
    <w:p w14:paraId="62695B7D" w14:textId="77777777" w:rsidR="00264F6C" w:rsidRPr="00264F6C" w:rsidRDefault="00264F6C" w:rsidP="00264F6C">
      <w:pPr>
        <w:numPr>
          <w:ilvl w:val="1"/>
          <w:numId w:val="4"/>
        </w:numPr>
        <w:spacing w:after="0" w:line="480" w:lineRule="auto"/>
        <w:rPr>
          <w:rFonts w:ascii="Times New Roman" w:hAnsi="Times New Roman" w:cs="Times New Roman"/>
        </w:rPr>
      </w:pPr>
      <w:r w:rsidRPr="00264F6C">
        <w:rPr>
          <w:rFonts w:ascii="Times New Roman" w:hAnsi="Times New Roman" w:cs="Times New Roman"/>
        </w:rPr>
        <w:t>Improvement: Suggest concrete steps for improvement.</w:t>
      </w:r>
    </w:p>
    <w:p w14:paraId="7EE7B913" w14:textId="77777777" w:rsidR="00264F6C" w:rsidRPr="00264F6C" w:rsidRDefault="00264F6C" w:rsidP="00264F6C">
      <w:pPr>
        <w:numPr>
          <w:ilvl w:val="1"/>
          <w:numId w:val="4"/>
        </w:numPr>
        <w:spacing w:after="0" w:line="480" w:lineRule="auto"/>
        <w:rPr>
          <w:rFonts w:ascii="Times New Roman" w:hAnsi="Times New Roman" w:cs="Times New Roman"/>
        </w:rPr>
      </w:pPr>
      <w:r w:rsidRPr="00264F6C">
        <w:rPr>
          <w:rFonts w:ascii="Times New Roman" w:hAnsi="Times New Roman" w:cs="Times New Roman"/>
        </w:rPr>
        <w:t>Support: State what resources or training are needed.</w:t>
      </w:r>
    </w:p>
    <w:p w14:paraId="1AB418F9" w14:textId="77777777" w:rsidR="00264F6C" w:rsidRPr="00264F6C" w:rsidRDefault="00264F6C" w:rsidP="00264F6C">
      <w:pPr>
        <w:numPr>
          <w:ilvl w:val="0"/>
          <w:numId w:val="3"/>
        </w:numPr>
        <w:spacing w:after="0" w:line="480" w:lineRule="auto"/>
        <w:rPr>
          <w:rFonts w:ascii="Times New Roman" w:hAnsi="Times New Roman" w:cs="Times New Roman"/>
        </w:rPr>
      </w:pPr>
      <w:r w:rsidRPr="00264F6C">
        <w:rPr>
          <w:rFonts w:ascii="Times New Roman" w:hAnsi="Times New Roman" w:cs="Times New Roman"/>
          <w:b/>
          <w:bCs/>
        </w:rPr>
        <w:t>Escalation Chart</w:t>
      </w:r>
    </w:p>
    <w:p w14:paraId="0A2EC0BB" w14:textId="77777777" w:rsidR="00264F6C" w:rsidRPr="00264F6C" w:rsidRDefault="00264F6C" w:rsidP="00264F6C">
      <w:pPr>
        <w:numPr>
          <w:ilvl w:val="1"/>
          <w:numId w:val="5"/>
        </w:numPr>
        <w:spacing w:after="0" w:line="480" w:lineRule="auto"/>
        <w:rPr>
          <w:rFonts w:ascii="Times New Roman" w:hAnsi="Times New Roman" w:cs="Times New Roman"/>
        </w:rPr>
      </w:pPr>
      <w:r w:rsidRPr="00264F6C">
        <w:rPr>
          <w:rFonts w:ascii="Times New Roman" w:hAnsi="Times New Roman" w:cs="Times New Roman"/>
        </w:rPr>
        <w:lastRenderedPageBreak/>
        <w:t>Tier 1: Help Desk / First Response – within 30 minutes</w:t>
      </w:r>
    </w:p>
    <w:p w14:paraId="3EA48938" w14:textId="77777777" w:rsidR="00264F6C" w:rsidRPr="00264F6C" w:rsidRDefault="00264F6C" w:rsidP="00264F6C">
      <w:pPr>
        <w:numPr>
          <w:ilvl w:val="1"/>
          <w:numId w:val="5"/>
        </w:numPr>
        <w:spacing w:after="0" w:line="480" w:lineRule="auto"/>
        <w:rPr>
          <w:rFonts w:ascii="Times New Roman" w:hAnsi="Times New Roman" w:cs="Times New Roman"/>
        </w:rPr>
      </w:pPr>
      <w:r w:rsidRPr="00264F6C">
        <w:rPr>
          <w:rFonts w:ascii="Times New Roman" w:hAnsi="Times New Roman" w:cs="Times New Roman"/>
        </w:rPr>
        <w:t>Tier 2: Team Lead / Specialist – within 2 hours</w:t>
      </w:r>
    </w:p>
    <w:p w14:paraId="49310787" w14:textId="77777777" w:rsidR="00264F6C" w:rsidRPr="00264F6C" w:rsidRDefault="00264F6C" w:rsidP="00264F6C">
      <w:pPr>
        <w:numPr>
          <w:ilvl w:val="1"/>
          <w:numId w:val="5"/>
        </w:numPr>
        <w:spacing w:after="0" w:line="480" w:lineRule="auto"/>
        <w:rPr>
          <w:rFonts w:ascii="Times New Roman" w:hAnsi="Times New Roman" w:cs="Times New Roman"/>
        </w:rPr>
      </w:pPr>
      <w:r w:rsidRPr="00264F6C">
        <w:rPr>
          <w:rFonts w:ascii="Times New Roman" w:hAnsi="Times New Roman" w:cs="Times New Roman"/>
        </w:rPr>
        <w:t>Tier 3: Supervisor / Manager – within 4 hours</w:t>
      </w:r>
    </w:p>
    <w:p w14:paraId="78FAAC3E"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Keeping these templates in a shared location such as a cloud drive or project management system ensures everyone uses the same process (Project Management Institute, 2021).</w:t>
      </w:r>
    </w:p>
    <w:p w14:paraId="21A62F5B"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5. Communication Channels</w:t>
      </w:r>
    </w:p>
    <w:p w14:paraId="7F737C56"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Different situations require different communication tools:</w:t>
      </w:r>
    </w:p>
    <w:p w14:paraId="0C75FDFC" w14:textId="77777777" w:rsidR="00264F6C" w:rsidRPr="00264F6C" w:rsidRDefault="00264F6C" w:rsidP="00264F6C">
      <w:pPr>
        <w:numPr>
          <w:ilvl w:val="0"/>
          <w:numId w:val="6"/>
        </w:numPr>
        <w:spacing w:after="0" w:line="480" w:lineRule="auto"/>
        <w:rPr>
          <w:rFonts w:ascii="Times New Roman" w:hAnsi="Times New Roman" w:cs="Times New Roman"/>
        </w:rPr>
      </w:pPr>
      <w:r w:rsidRPr="00264F6C">
        <w:rPr>
          <w:rFonts w:ascii="Times New Roman" w:hAnsi="Times New Roman" w:cs="Times New Roman"/>
          <w:b/>
          <w:bCs/>
        </w:rPr>
        <w:t>Email:</w:t>
      </w:r>
      <w:r w:rsidRPr="00264F6C">
        <w:rPr>
          <w:rFonts w:ascii="Times New Roman" w:hAnsi="Times New Roman" w:cs="Times New Roman"/>
        </w:rPr>
        <w:t xml:space="preserve"> Used for formal updates, policy changes, and decision documentation.</w:t>
      </w:r>
    </w:p>
    <w:p w14:paraId="259D6113" w14:textId="77777777" w:rsidR="00264F6C" w:rsidRPr="00264F6C" w:rsidRDefault="00264F6C" w:rsidP="00264F6C">
      <w:pPr>
        <w:numPr>
          <w:ilvl w:val="0"/>
          <w:numId w:val="6"/>
        </w:numPr>
        <w:spacing w:after="0" w:line="480" w:lineRule="auto"/>
        <w:rPr>
          <w:rFonts w:ascii="Times New Roman" w:hAnsi="Times New Roman" w:cs="Times New Roman"/>
        </w:rPr>
      </w:pPr>
      <w:r w:rsidRPr="00264F6C">
        <w:rPr>
          <w:rFonts w:ascii="Times New Roman" w:hAnsi="Times New Roman" w:cs="Times New Roman"/>
          <w:b/>
          <w:bCs/>
        </w:rPr>
        <w:t>Instant Messaging (Slack, Microsoft Teams):</w:t>
      </w:r>
      <w:r w:rsidRPr="00264F6C">
        <w:rPr>
          <w:rFonts w:ascii="Times New Roman" w:hAnsi="Times New Roman" w:cs="Times New Roman"/>
        </w:rPr>
        <w:t xml:space="preserve"> Ideal for quick updates and collaborative discussions.</w:t>
      </w:r>
    </w:p>
    <w:p w14:paraId="21A1D60B" w14:textId="77777777" w:rsidR="00264F6C" w:rsidRPr="00264F6C" w:rsidRDefault="00264F6C" w:rsidP="00264F6C">
      <w:pPr>
        <w:numPr>
          <w:ilvl w:val="0"/>
          <w:numId w:val="6"/>
        </w:numPr>
        <w:spacing w:after="0" w:line="480" w:lineRule="auto"/>
        <w:rPr>
          <w:rFonts w:ascii="Times New Roman" w:hAnsi="Times New Roman" w:cs="Times New Roman"/>
        </w:rPr>
      </w:pPr>
      <w:r w:rsidRPr="00264F6C">
        <w:rPr>
          <w:rFonts w:ascii="Times New Roman" w:hAnsi="Times New Roman" w:cs="Times New Roman"/>
          <w:b/>
          <w:bCs/>
        </w:rPr>
        <w:t>Project Management Tools (Jira, Trello, Asana):</w:t>
      </w:r>
      <w:r w:rsidRPr="00264F6C">
        <w:rPr>
          <w:rFonts w:ascii="Times New Roman" w:hAnsi="Times New Roman" w:cs="Times New Roman"/>
        </w:rPr>
        <w:t xml:space="preserve"> Used for tracking tasks, milestones, and workloads (Kaplan &amp; Norton, 2004).</w:t>
      </w:r>
    </w:p>
    <w:p w14:paraId="589D2A0E" w14:textId="77777777" w:rsidR="00264F6C" w:rsidRPr="00264F6C" w:rsidRDefault="00264F6C" w:rsidP="00264F6C">
      <w:pPr>
        <w:numPr>
          <w:ilvl w:val="0"/>
          <w:numId w:val="6"/>
        </w:numPr>
        <w:spacing w:after="0" w:line="480" w:lineRule="auto"/>
        <w:rPr>
          <w:rFonts w:ascii="Times New Roman" w:hAnsi="Times New Roman" w:cs="Times New Roman"/>
        </w:rPr>
      </w:pPr>
      <w:r w:rsidRPr="00264F6C">
        <w:rPr>
          <w:rFonts w:ascii="Times New Roman" w:hAnsi="Times New Roman" w:cs="Times New Roman"/>
          <w:b/>
          <w:bCs/>
        </w:rPr>
        <w:t>Video Conferencing (Zoom, Google Meet):</w:t>
      </w:r>
      <w:r w:rsidRPr="00264F6C">
        <w:rPr>
          <w:rFonts w:ascii="Times New Roman" w:hAnsi="Times New Roman" w:cs="Times New Roman"/>
        </w:rPr>
        <w:t xml:space="preserve"> Suitable for remote coaching sessions, team meetings, and virtual training.</w:t>
      </w:r>
    </w:p>
    <w:p w14:paraId="17FDE4C4"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6. Key Performance Indicators (KPIs) for Coaching</w:t>
      </w:r>
    </w:p>
    <w:p w14:paraId="023DEB41"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Measuring coaching effectiveness ensures continuous improvement. Useful KPIs include:</w:t>
      </w:r>
    </w:p>
    <w:p w14:paraId="1C76CAFF" w14:textId="77777777" w:rsidR="00264F6C" w:rsidRPr="00264F6C" w:rsidRDefault="00264F6C" w:rsidP="00264F6C">
      <w:pPr>
        <w:numPr>
          <w:ilvl w:val="0"/>
          <w:numId w:val="7"/>
        </w:numPr>
        <w:spacing w:after="0" w:line="480" w:lineRule="auto"/>
        <w:rPr>
          <w:rFonts w:ascii="Times New Roman" w:hAnsi="Times New Roman" w:cs="Times New Roman"/>
        </w:rPr>
      </w:pPr>
      <w:r w:rsidRPr="00264F6C">
        <w:rPr>
          <w:rFonts w:ascii="Times New Roman" w:hAnsi="Times New Roman" w:cs="Times New Roman"/>
          <w:b/>
          <w:bCs/>
        </w:rPr>
        <w:t>Team Engagement Score:</w:t>
      </w:r>
      <w:r w:rsidRPr="00264F6C">
        <w:rPr>
          <w:rFonts w:ascii="Times New Roman" w:hAnsi="Times New Roman" w:cs="Times New Roman"/>
        </w:rPr>
        <w:t xml:space="preserve"> Derived from quarterly surveys to assess morale and engagement (Gallup, 2023).</w:t>
      </w:r>
    </w:p>
    <w:p w14:paraId="14565CD4" w14:textId="77777777" w:rsidR="00264F6C" w:rsidRPr="00264F6C" w:rsidRDefault="00264F6C" w:rsidP="00264F6C">
      <w:pPr>
        <w:numPr>
          <w:ilvl w:val="0"/>
          <w:numId w:val="7"/>
        </w:numPr>
        <w:spacing w:after="0" w:line="480" w:lineRule="auto"/>
        <w:rPr>
          <w:rFonts w:ascii="Times New Roman" w:hAnsi="Times New Roman" w:cs="Times New Roman"/>
        </w:rPr>
      </w:pPr>
      <w:r w:rsidRPr="00264F6C">
        <w:rPr>
          <w:rFonts w:ascii="Times New Roman" w:hAnsi="Times New Roman" w:cs="Times New Roman"/>
          <w:b/>
          <w:bCs/>
        </w:rPr>
        <w:t>Goal Completion Rate:</w:t>
      </w:r>
      <w:r w:rsidRPr="00264F6C">
        <w:rPr>
          <w:rFonts w:ascii="Times New Roman" w:hAnsi="Times New Roman" w:cs="Times New Roman"/>
        </w:rPr>
        <w:t xml:space="preserve"> The percentage of goals met on time, reflecting productivity and efficiency.</w:t>
      </w:r>
    </w:p>
    <w:p w14:paraId="5033E05F" w14:textId="77777777" w:rsidR="00264F6C" w:rsidRPr="00264F6C" w:rsidRDefault="00264F6C" w:rsidP="00264F6C">
      <w:pPr>
        <w:numPr>
          <w:ilvl w:val="0"/>
          <w:numId w:val="7"/>
        </w:numPr>
        <w:spacing w:after="0" w:line="480" w:lineRule="auto"/>
        <w:rPr>
          <w:rFonts w:ascii="Times New Roman" w:hAnsi="Times New Roman" w:cs="Times New Roman"/>
        </w:rPr>
      </w:pPr>
      <w:r w:rsidRPr="00264F6C">
        <w:rPr>
          <w:rFonts w:ascii="Times New Roman" w:hAnsi="Times New Roman" w:cs="Times New Roman"/>
          <w:b/>
          <w:bCs/>
        </w:rPr>
        <w:t>Skill Development Hours:</w:t>
      </w:r>
      <w:r w:rsidRPr="00264F6C">
        <w:rPr>
          <w:rFonts w:ascii="Times New Roman" w:hAnsi="Times New Roman" w:cs="Times New Roman"/>
        </w:rPr>
        <w:t xml:space="preserve"> The average number of hours each team member spends </w:t>
      </w:r>
      <w:proofErr w:type="gramStart"/>
      <w:r w:rsidRPr="00264F6C">
        <w:rPr>
          <w:rFonts w:ascii="Times New Roman" w:hAnsi="Times New Roman" w:cs="Times New Roman"/>
        </w:rPr>
        <w:t>in</w:t>
      </w:r>
      <w:proofErr w:type="gramEnd"/>
      <w:r w:rsidRPr="00264F6C">
        <w:rPr>
          <w:rFonts w:ascii="Times New Roman" w:hAnsi="Times New Roman" w:cs="Times New Roman"/>
        </w:rPr>
        <w:t xml:space="preserve"> training or learning activities.</w:t>
      </w:r>
    </w:p>
    <w:p w14:paraId="71336E8E" w14:textId="77777777" w:rsidR="00264F6C" w:rsidRPr="00264F6C" w:rsidRDefault="00264F6C" w:rsidP="00264F6C">
      <w:pPr>
        <w:numPr>
          <w:ilvl w:val="0"/>
          <w:numId w:val="7"/>
        </w:numPr>
        <w:spacing w:after="0" w:line="480" w:lineRule="auto"/>
        <w:rPr>
          <w:rFonts w:ascii="Times New Roman" w:hAnsi="Times New Roman" w:cs="Times New Roman"/>
        </w:rPr>
      </w:pPr>
      <w:r w:rsidRPr="00264F6C">
        <w:rPr>
          <w:rFonts w:ascii="Times New Roman" w:hAnsi="Times New Roman" w:cs="Times New Roman"/>
          <w:b/>
          <w:bCs/>
        </w:rPr>
        <w:lastRenderedPageBreak/>
        <w:t>Feedback Implementation Rate:</w:t>
      </w:r>
      <w:r w:rsidRPr="00264F6C">
        <w:rPr>
          <w:rFonts w:ascii="Times New Roman" w:hAnsi="Times New Roman" w:cs="Times New Roman"/>
        </w:rPr>
        <w:t xml:space="preserve"> The percentage of feedback items successfully acted upon within an agreed timeframe.</w:t>
      </w:r>
    </w:p>
    <w:p w14:paraId="7827E70E"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7. Best Practices</w:t>
      </w:r>
    </w:p>
    <w:p w14:paraId="2DD80603" w14:textId="77777777" w:rsidR="00264F6C" w:rsidRPr="00264F6C" w:rsidRDefault="00264F6C" w:rsidP="00264F6C">
      <w:pPr>
        <w:numPr>
          <w:ilvl w:val="0"/>
          <w:numId w:val="8"/>
        </w:numPr>
        <w:spacing w:after="0" w:line="480" w:lineRule="auto"/>
        <w:rPr>
          <w:rFonts w:ascii="Times New Roman" w:hAnsi="Times New Roman" w:cs="Times New Roman"/>
        </w:rPr>
      </w:pPr>
      <w:r w:rsidRPr="00264F6C">
        <w:rPr>
          <w:rFonts w:ascii="Times New Roman" w:hAnsi="Times New Roman" w:cs="Times New Roman"/>
        </w:rPr>
        <w:t>Always document coaching sessions for reference and accountability.</w:t>
      </w:r>
    </w:p>
    <w:p w14:paraId="536B79BB" w14:textId="77777777" w:rsidR="00264F6C" w:rsidRPr="00264F6C" w:rsidRDefault="00264F6C" w:rsidP="00264F6C">
      <w:pPr>
        <w:numPr>
          <w:ilvl w:val="0"/>
          <w:numId w:val="8"/>
        </w:numPr>
        <w:spacing w:after="0" w:line="480" w:lineRule="auto"/>
        <w:rPr>
          <w:rFonts w:ascii="Times New Roman" w:hAnsi="Times New Roman" w:cs="Times New Roman"/>
        </w:rPr>
      </w:pPr>
      <w:r w:rsidRPr="00264F6C">
        <w:rPr>
          <w:rFonts w:ascii="Times New Roman" w:hAnsi="Times New Roman" w:cs="Times New Roman"/>
        </w:rPr>
        <w:t>Recognize achievements immediately to reinforce positive behaviors (Goleman, 2017).</w:t>
      </w:r>
    </w:p>
    <w:p w14:paraId="5D29D033" w14:textId="77777777" w:rsidR="00264F6C" w:rsidRPr="00264F6C" w:rsidRDefault="00264F6C" w:rsidP="00264F6C">
      <w:pPr>
        <w:numPr>
          <w:ilvl w:val="0"/>
          <w:numId w:val="8"/>
        </w:numPr>
        <w:spacing w:after="0" w:line="480" w:lineRule="auto"/>
        <w:rPr>
          <w:rFonts w:ascii="Times New Roman" w:hAnsi="Times New Roman" w:cs="Times New Roman"/>
        </w:rPr>
      </w:pPr>
      <w:r w:rsidRPr="00264F6C">
        <w:rPr>
          <w:rFonts w:ascii="Times New Roman" w:hAnsi="Times New Roman" w:cs="Times New Roman"/>
        </w:rPr>
        <w:t>Maintain clear, respectful, and concise communication in all situations.</w:t>
      </w:r>
    </w:p>
    <w:p w14:paraId="2825297E" w14:textId="77777777" w:rsidR="00264F6C" w:rsidRPr="00264F6C" w:rsidRDefault="00264F6C" w:rsidP="00264F6C">
      <w:pPr>
        <w:numPr>
          <w:ilvl w:val="0"/>
          <w:numId w:val="8"/>
        </w:numPr>
        <w:spacing w:after="0" w:line="480" w:lineRule="auto"/>
        <w:rPr>
          <w:rFonts w:ascii="Times New Roman" w:hAnsi="Times New Roman" w:cs="Times New Roman"/>
        </w:rPr>
      </w:pPr>
      <w:r w:rsidRPr="00264F6C">
        <w:rPr>
          <w:rFonts w:ascii="Times New Roman" w:hAnsi="Times New Roman" w:cs="Times New Roman"/>
        </w:rPr>
        <w:t>Foster a culture of psychological safety where employees can share openly without fear of judgment (SHRM, 2022).</w:t>
      </w:r>
    </w:p>
    <w:p w14:paraId="343BF71A" w14:textId="77777777" w:rsidR="00264F6C" w:rsidRPr="00264F6C" w:rsidRDefault="00264F6C" w:rsidP="00264F6C">
      <w:pPr>
        <w:spacing w:after="0" w:line="480" w:lineRule="auto"/>
        <w:rPr>
          <w:rFonts w:ascii="Times New Roman" w:hAnsi="Times New Roman" w:cs="Times New Roman"/>
          <w:b/>
          <w:bCs/>
        </w:rPr>
      </w:pPr>
      <w:r w:rsidRPr="00264F6C">
        <w:rPr>
          <w:rFonts w:ascii="Times New Roman" w:hAnsi="Times New Roman" w:cs="Times New Roman"/>
          <w:b/>
          <w:bCs/>
        </w:rPr>
        <w:t>8. Reference Standards</w:t>
      </w:r>
    </w:p>
    <w:p w14:paraId="7B835CD6" w14:textId="77777777" w:rsidR="00264F6C" w:rsidRPr="00264F6C" w:rsidRDefault="00264F6C" w:rsidP="00264F6C">
      <w:pPr>
        <w:spacing w:after="0" w:line="480" w:lineRule="auto"/>
        <w:rPr>
          <w:rFonts w:ascii="Times New Roman" w:hAnsi="Times New Roman" w:cs="Times New Roman"/>
        </w:rPr>
      </w:pPr>
      <w:r w:rsidRPr="00264F6C">
        <w:rPr>
          <w:rFonts w:ascii="Times New Roman" w:hAnsi="Times New Roman" w:cs="Times New Roman"/>
        </w:rPr>
        <w:t xml:space="preserve">This toolkit incorporates </w:t>
      </w:r>
      <w:proofErr w:type="gramStart"/>
      <w:r w:rsidRPr="00264F6C">
        <w:rPr>
          <w:rFonts w:ascii="Times New Roman" w:hAnsi="Times New Roman" w:cs="Times New Roman"/>
        </w:rPr>
        <w:t>global best</w:t>
      </w:r>
      <w:proofErr w:type="gramEnd"/>
      <w:r w:rsidRPr="00264F6C">
        <w:rPr>
          <w:rFonts w:ascii="Times New Roman" w:hAnsi="Times New Roman" w:cs="Times New Roman"/>
        </w:rPr>
        <w:t xml:space="preserve"> practices from:</w:t>
      </w:r>
    </w:p>
    <w:p w14:paraId="798D6703" w14:textId="77777777" w:rsidR="00264F6C" w:rsidRPr="00264F6C" w:rsidRDefault="00264F6C" w:rsidP="00264F6C">
      <w:pPr>
        <w:numPr>
          <w:ilvl w:val="0"/>
          <w:numId w:val="9"/>
        </w:numPr>
        <w:spacing w:after="0" w:line="480" w:lineRule="auto"/>
        <w:rPr>
          <w:rFonts w:ascii="Times New Roman" w:hAnsi="Times New Roman" w:cs="Times New Roman"/>
        </w:rPr>
      </w:pPr>
      <w:r w:rsidRPr="00264F6C">
        <w:rPr>
          <w:rFonts w:ascii="Times New Roman" w:hAnsi="Times New Roman" w:cs="Times New Roman"/>
        </w:rPr>
        <w:t>ITIL® Service Management (Axelos, 2019)</w:t>
      </w:r>
    </w:p>
    <w:p w14:paraId="40B5E63C" w14:textId="77777777" w:rsidR="00264F6C" w:rsidRPr="00264F6C" w:rsidRDefault="00264F6C" w:rsidP="00264F6C">
      <w:pPr>
        <w:numPr>
          <w:ilvl w:val="0"/>
          <w:numId w:val="9"/>
        </w:numPr>
        <w:spacing w:after="0" w:line="480" w:lineRule="auto"/>
        <w:rPr>
          <w:rFonts w:ascii="Times New Roman" w:hAnsi="Times New Roman" w:cs="Times New Roman"/>
        </w:rPr>
      </w:pPr>
      <w:r w:rsidRPr="00264F6C">
        <w:rPr>
          <w:rFonts w:ascii="Times New Roman" w:hAnsi="Times New Roman" w:cs="Times New Roman"/>
        </w:rPr>
        <w:t>Gallup Workplace Engagement (Gallup, 2023)</w:t>
      </w:r>
    </w:p>
    <w:p w14:paraId="1D4E6749" w14:textId="77777777" w:rsidR="00264F6C" w:rsidRPr="00264F6C" w:rsidRDefault="00264F6C" w:rsidP="00264F6C">
      <w:pPr>
        <w:numPr>
          <w:ilvl w:val="0"/>
          <w:numId w:val="9"/>
        </w:numPr>
        <w:spacing w:after="0" w:line="480" w:lineRule="auto"/>
        <w:rPr>
          <w:rFonts w:ascii="Times New Roman" w:hAnsi="Times New Roman" w:cs="Times New Roman"/>
        </w:rPr>
      </w:pPr>
      <w:r w:rsidRPr="00264F6C">
        <w:rPr>
          <w:rFonts w:ascii="Times New Roman" w:hAnsi="Times New Roman" w:cs="Times New Roman"/>
        </w:rPr>
        <w:t>Northouse Leadership Theory (Northouse, 2021)</w:t>
      </w:r>
    </w:p>
    <w:p w14:paraId="63DD2D0A" w14:textId="77777777" w:rsidR="00264F6C" w:rsidRPr="00264F6C" w:rsidRDefault="00264F6C" w:rsidP="00264F6C">
      <w:pPr>
        <w:numPr>
          <w:ilvl w:val="0"/>
          <w:numId w:val="9"/>
        </w:numPr>
        <w:spacing w:after="0" w:line="480" w:lineRule="auto"/>
        <w:rPr>
          <w:rFonts w:ascii="Times New Roman" w:hAnsi="Times New Roman" w:cs="Times New Roman"/>
        </w:rPr>
      </w:pPr>
      <w:r w:rsidRPr="00264F6C">
        <w:rPr>
          <w:rFonts w:ascii="Times New Roman" w:hAnsi="Times New Roman" w:cs="Times New Roman"/>
        </w:rPr>
        <w:t>PMBOK® Guide (Project Management Institute, 2021)</w:t>
      </w:r>
    </w:p>
    <w:p w14:paraId="3715CA73" w14:textId="191FA75D" w:rsidR="00264F6C" w:rsidRPr="00264F6C" w:rsidRDefault="00264F6C" w:rsidP="00264F6C">
      <w:pPr>
        <w:spacing w:after="0" w:line="480" w:lineRule="auto"/>
        <w:rPr>
          <w:rFonts w:ascii="Times New Roman" w:hAnsi="Times New Roman" w:cs="Times New Roman"/>
        </w:rPr>
      </w:pPr>
    </w:p>
    <w:p w14:paraId="5A04743E" w14:textId="77777777" w:rsidR="00264F6C" w:rsidRPr="00264F6C" w:rsidRDefault="00264F6C" w:rsidP="00264F6C">
      <w:pPr>
        <w:spacing w:after="0" w:line="480" w:lineRule="auto"/>
        <w:jc w:val="center"/>
        <w:rPr>
          <w:rFonts w:ascii="Times New Roman" w:hAnsi="Times New Roman" w:cs="Times New Roman"/>
          <w:b/>
          <w:bCs/>
        </w:rPr>
      </w:pPr>
      <w:r w:rsidRPr="00264F6C">
        <w:rPr>
          <w:rFonts w:ascii="Times New Roman" w:hAnsi="Times New Roman" w:cs="Times New Roman"/>
          <w:b/>
          <w:bCs/>
        </w:rPr>
        <w:t>References</w:t>
      </w:r>
    </w:p>
    <w:p w14:paraId="77EC5FE3"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Axelos. (2019). </w:t>
      </w:r>
      <w:r w:rsidRPr="00264F6C">
        <w:rPr>
          <w:rFonts w:ascii="Times New Roman" w:hAnsi="Times New Roman" w:cs="Times New Roman"/>
          <w:i/>
          <w:iCs/>
        </w:rPr>
        <w:t>ITIL Foundation: ITIL 4 edition</w:t>
      </w:r>
      <w:r w:rsidRPr="00264F6C">
        <w:rPr>
          <w:rFonts w:ascii="Times New Roman" w:hAnsi="Times New Roman" w:cs="Times New Roman"/>
        </w:rPr>
        <w:t>. TSO. https://www.axelos.com/best-practice-solutions/itil</w:t>
      </w:r>
    </w:p>
    <w:p w14:paraId="422780D9"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Gallup. (2023). </w:t>
      </w:r>
      <w:r w:rsidRPr="00264F6C">
        <w:rPr>
          <w:rFonts w:ascii="Times New Roman" w:hAnsi="Times New Roman" w:cs="Times New Roman"/>
          <w:i/>
          <w:iCs/>
        </w:rPr>
        <w:t>State of the global workplace</w:t>
      </w:r>
      <w:r w:rsidRPr="00264F6C">
        <w:rPr>
          <w:rFonts w:ascii="Times New Roman" w:hAnsi="Times New Roman" w:cs="Times New Roman"/>
        </w:rPr>
        <w:t>. Gallup Press. https://www.gallup.com/workplace/349484/state-of-the-global-workplace.aspx</w:t>
      </w:r>
    </w:p>
    <w:p w14:paraId="0086E891"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Goleman, D. (2017). </w:t>
      </w:r>
      <w:r w:rsidRPr="00264F6C">
        <w:rPr>
          <w:rFonts w:ascii="Times New Roman" w:hAnsi="Times New Roman" w:cs="Times New Roman"/>
          <w:i/>
          <w:iCs/>
        </w:rPr>
        <w:t>Leadership that gets results</w:t>
      </w:r>
      <w:r w:rsidRPr="00264F6C">
        <w:rPr>
          <w:rFonts w:ascii="Times New Roman" w:hAnsi="Times New Roman" w:cs="Times New Roman"/>
        </w:rPr>
        <w:t xml:space="preserve">. Harvard Business Review Press. </w:t>
      </w:r>
      <w:hyperlink r:id="rId5" w:tgtFrame="_new" w:history="1">
        <w:r w:rsidRPr="00264F6C">
          <w:rPr>
            <w:rStyle w:val="Hyperlink"/>
            <w:rFonts w:ascii="Times New Roman" w:hAnsi="Times New Roman" w:cs="Times New Roman"/>
          </w:rPr>
          <w:t>https://hbr.org/2000/03/leadership-that-gets-results</w:t>
        </w:r>
      </w:hyperlink>
    </w:p>
    <w:p w14:paraId="5294AD16"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lastRenderedPageBreak/>
        <w:t xml:space="preserve">Kaplan, R. S., &amp; Norton, D. P. (2004). </w:t>
      </w:r>
      <w:r w:rsidRPr="00264F6C">
        <w:rPr>
          <w:rFonts w:ascii="Times New Roman" w:hAnsi="Times New Roman" w:cs="Times New Roman"/>
          <w:i/>
          <w:iCs/>
        </w:rPr>
        <w:t>Strategy maps: Converting intangible assets into tangible outcomes</w:t>
      </w:r>
      <w:r w:rsidRPr="00264F6C">
        <w:rPr>
          <w:rFonts w:ascii="Times New Roman" w:hAnsi="Times New Roman" w:cs="Times New Roman"/>
        </w:rPr>
        <w:t xml:space="preserve">. Harvard Business Press. </w:t>
      </w:r>
      <w:hyperlink r:id="rId6" w:tgtFrame="_new" w:history="1">
        <w:r w:rsidRPr="00264F6C">
          <w:rPr>
            <w:rStyle w:val="Hyperlink"/>
            <w:rFonts w:ascii="Times New Roman" w:hAnsi="Times New Roman" w:cs="Times New Roman"/>
          </w:rPr>
          <w:t>https://hbr.org/product/strategy-maps-converting-intangible-assets-into-tangible-outcomes/10501-HBK-ENG</w:t>
        </w:r>
      </w:hyperlink>
    </w:p>
    <w:p w14:paraId="2CC0F77E"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Northouse, P. G. (2021). </w:t>
      </w:r>
      <w:r w:rsidRPr="00264F6C">
        <w:rPr>
          <w:rFonts w:ascii="Times New Roman" w:hAnsi="Times New Roman" w:cs="Times New Roman"/>
          <w:i/>
          <w:iCs/>
        </w:rPr>
        <w:t>Leadership: Theory and practice</w:t>
      </w:r>
      <w:r w:rsidRPr="00264F6C">
        <w:rPr>
          <w:rFonts w:ascii="Times New Roman" w:hAnsi="Times New Roman" w:cs="Times New Roman"/>
        </w:rPr>
        <w:t xml:space="preserve"> (9th ed.). Sage Publications. https://us.sagepub.com/en-us/nam/leadership/book270486</w:t>
      </w:r>
    </w:p>
    <w:p w14:paraId="01E35B31"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Project Management Institute. (2021). </w:t>
      </w:r>
      <w:r w:rsidRPr="00264F6C">
        <w:rPr>
          <w:rFonts w:ascii="Times New Roman" w:hAnsi="Times New Roman" w:cs="Times New Roman"/>
          <w:i/>
          <w:iCs/>
        </w:rPr>
        <w:t>A guide to the project management body of knowledge (PMBOK® Guide) – Seventh Edition</w:t>
      </w:r>
      <w:r w:rsidRPr="00264F6C">
        <w:rPr>
          <w:rFonts w:ascii="Times New Roman" w:hAnsi="Times New Roman" w:cs="Times New Roman"/>
        </w:rPr>
        <w:t>. Project Management Institute. https://www.pmi.org/pmbok-guide-standards/foundational/pmbok</w:t>
      </w:r>
    </w:p>
    <w:p w14:paraId="0A2E260B" w14:textId="77777777" w:rsidR="00264F6C" w:rsidRPr="00264F6C" w:rsidRDefault="00264F6C" w:rsidP="00264F6C">
      <w:pPr>
        <w:spacing w:after="0" w:line="480" w:lineRule="auto"/>
        <w:ind w:left="720" w:hanging="720"/>
        <w:mirrorIndents/>
        <w:rPr>
          <w:rFonts w:ascii="Times New Roman" w:hAnsi="Times New Roman" w:cs="Times New Roman"/>
        </w:rPr>
      </w:pPr>
      <w:r w:rsidRPr="00264F6C">
        <w:rPr>
          <w:rFonts w:ascii="Times New Roman" w:hAnsi="Times New Roman" w:cs="Times New Roman"/>
        </w:rPr>
        <w:t xml:space="preserve">Society for Human Resource Management. (2022). </w:t>
      </w:r>
      <w:r w:rsidRPr="00264F6C">
        <w:rPr>
          <w:rFonts w:ascii="Times New Roman" w:hAnsi="Times New Roman" w:cs="Times New Roman"/>
          <w:i/>
          <w:iCs/>
        </w:rPr>
        <w:t>Diversity, equity and inclusion report</w:t>
      </w:r>
      <w:r w:rsidRPr="00264F6C">
        <w:rPr>
          <w:rFonts w:ascii="Times New Roman" w:hAnsi="Times New Roman" w:cs="Times New Roman"/>
        </w:rPr>
        <w:t>. SHRM. https://www.shrm.org/resourcesandtools/hr-topics/behavioral-competencies/global-and-cultural-effectiveness/pages/shrm-dei-report-2022.aspx</w:t>
      </w:r>
    </w:p>
    <w:p w14:paraId="4BEF512A" w14:textId="77777777" w:rsidR="0068485F" w:rsidRPr="00264F6C" w:rsidRDefault="0068485F" w:rsidP="00264F6C">
      <w:pPr>
        <w:spacing w:after="0" w:line="480" w:lineRule="auto"/>
        <w:rPr>
          <w:rFonts w:ascii="Times New Roman" w:hAnsi="Times New Roman" w:cs="Times New Roman"/>
        </w:rPr>
      </w:pPr>
    </w:p>
    <w:sectPr w:rsidR="0068485F" w:rsidRPr="0026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B74DB"/>
    <w:multiLevelType w:val="multilevel"/>
    <w:tmpl w:val="72F20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71480"/>
    <w:multiLevelType w:val="multilevel"/>
    <w:tmpl w:val="2EA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95E5A"/>
    <w:multiLevelType w:val="multilevel"/>
    <w:tmpl w:val="D7A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4CB1"/>
    <w:multiLevelType w:val="multilevel"/>
    <w:tmpl w:val="AB5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866E0"/>
    <w:multiLevelType w:val="multilevel"/>
    <w:tmpl w:val="F19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D26BA"/>
    <w:multiLevelType w:val="multilevel"/>
    <w:tmpl w:val="D2F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01E63"/>
    <w:multiLevelType w:val="multilevel"/>
    <w:tmpl w:val="DA5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392359">
    <w:abstractNumId w:val="5"/>
  </w:num>
  <w:num w:numId="2" w16cid:durableId="684088576">
    <w:abstractNumId w:val="2"/>
  </w:num>
  <w:num w:numId="3" w16cid:durableId="160194147">
    <w:abstractNumId w:val="0"/>
  </w:num>
  <w:num w:numId="4" w16cid:durableId="188325306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45502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36448768">
    <w:abstractNumId w:val="4"/>
  </w:num>
  <w:num w:numId="7" w16cid:durableId="1247611571">
    <w:abstractNumId w:val="3"/>
  </w:num>
  <w:num w:numId="8" w16cid:durableId="365377085">
    <w:abstractNumId w:val="1"/>
  </w:num>
  <w:num w:numId="9" w16cid:durableId="491719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6C"/>
    <w:rsid w:val="00264F6C"/>
    <w:rsid w:val="0068485F"/>
    <w:rsid w:val="006A3343"/>
    <w:rsid w:val="009E71D7"/>
    <w:rsid w:val="00A22EA9"/>
    <w:rsid w:val="00D73D7E"/>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FF58"/>
  <w15:chartTrackingRefBased/>
  <w15:docId w15:val="{EFAC72EA-556B-4ECA-8B36-6F6A66D9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F6C"/>
    <w:rPr>
      <w:rFonts w:eastAsiaTheme="majorEastAsia" w:cstheme="majorBidi"/>
      <w:color w:val="272727" w:themeColor="text1" w:themeTint="D8"/>
    </w:rPr>
  </w:style>
  <w:style w:type="paragraph" w:styleId="Title">
    <w:name w:val="Title"/>
    <w:basedOn w:val="Normal"/>
    <w:next w:val="Normal"/>
    <w:link w:val="TitleChar"/>
    <w:uiPriority w:val="10"/>
    <w:qFormat/>
    <w:rsid w:val="00264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F6C"/>
    <w:pPr>
      <w:spacing w:before="160"/>
      <w:jc w:val="center"/>
    </w:pPr>
    <w:rPr>
      <w:i/>
      <w:iCs/>
      <w:color w:val="404040" w:themeColor="text1" w:themeTint="BF"/>
    </w:rPr>
  </w:style>
  <w:style w:type="character" w:customStyle="1" w:styleId="QuoteChar">
    <w:name w:val="Quote Char"/>
    <w:basedOn w:val="DefaultParagraphFont"/>
    <w:link w:val="Quote"/>
    <w:uiPriority w:val="29"/>
    <w:rsid w:val="00264F6C"/>
    <w:rPr>
      <w:i/>
      <w:iCs/>
      <w:color w:val="404040" w:themeColor="text1" w:themeTint="BF"/>
    </w:rPr>
  </w:style>
  <w:style w:type="paragraph" w:styleId="ListParagraph">
    <w:name w:val="List Paragraph"/>
    <w:basedOn w:val="Normal"/>
    <w:uiPriority w:val="34"/>
    <w:qFormat/>
    <w:rsid w:val="00264F6C"/>
    <w:pPr>
      <w:ind w:left="720"/>
      <w:contextualSpacing/>
    </w:pPr>
  </w:style>
  <w:style w:type="character" w:styleId="IntenseEmphasis">
    <w:name w:val="Intense Emphasis"/>
    <w:basedOn w:val="DefaultParagraphFont"/>
    <w:uiPriority w:val="21"/>
    <w:qFormat/>
    <w:rsid w:val="00264F6C"/>
    <w:rPr>
      <w:i/>
      <w:iCs/>
      <w:color w:val="0F4761" w:themeColor="accent1" w:themeShade="BF"/>
    </w:rPr>
  </w:style>
  <w:style w:type="paragraph" w:styleId="IntenseQuote">
    <w:name w:val="Intense Quote"/>
    <w:basedOn w:val="Normal"/>
    <w:next w:val="Normal"/>
    <w:link w:val="IntenseQuoteChar"/>
    <w:uiPriority w:val="30"/>
    <w:qFormat/>
    <w:rsid w:val="00264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F6C"/>
    <w:rPr>
      <w:i/>
      <w:iCs/>
      <w:color w:val="0F4761" w:themeColor="accent1" w:themeShade="BF"/>
    </w:rPr>
  </w:style>
  <w:style w:type="character" w:styleId="IntenseReference">
    <w:name w:val="Intense Reference"/>
    <w:basedOn w:val="DefaultParagraphFont"/>
    <w:uiPriority w:val="32"/>
    <w:qFormat/>
    <w:rsid w:val="00264F6C"/>
    <w:rPr>
      <w:b/>
      <w:bCs/>
      <w:smallCaps/>
      <w:color w:val="0F4761" w:themeColor="accent1" w:themeShade="BF"/>
      <w:spacing w:val="5"/>
    </w:rPr>
  </w:style>
  <w:style w:type="character" w:styleId="Hyperlink">
    <w:name w:val="Hyperlink"/>
    <w:basedOn w:val="DefaultParagraphFont"/>
    <w:uiPriority w:val="99"/>
    <w:unhideWhenUsed/>
    <w:rsid w:val="00264F6C"/>
    <w:rPr>
      <w:color w:val="467886" w:themeColor="hyperlink"/>
      <w:u w:val="single"/>
    </w:rPr>
  </w:style>
  <w:style w:type="character" w:styleId="UnresolvedMention">
    <w:name w:val="Unresolved Mention"/>
    <w:basedOn w:val="DefaultParagraphFont"/>
    <w:uiPriority w:val="99"/>
    <w:semiHidden/>
    <w:unhideWhenUsed/>
    <w:rsid w:val="0026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product/strategy-maps-converting-intangible-assets-into-tangible-outcomes/10501-HBK-ENG" TargetMode="External"/><Relationship Id="rId5" Type="http://schemas.openxmlformats.org/officeDocument/2006/relationships/hyperlink" Target="https://hbr.org/2000/03/leadership-that-gets-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2025-08-11T18:26:00Z</dcterms:created>
  <dcterms:modified xsi:type="dcterms:W3CDTF">2025-08-11T18:28:00Z</dcterms:modified>
</cp:coreProperties>
</file>