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</w:pPr>
      <w:r>
        <w:rPr>
          <w:rFonts w:ascii="Times New Roman" w:hAnsi="Times New Roman"/>
          <w:b w:val="0"/>
          <w:sz w:val="20"/>
        </w:rPr>
        <w:t>ФЕДЕРАЛЬНОЕ ГОСУДАРСТВЕННОЕ АВТОНОМНОЕ ОБРАЗОВАТЕЛЬНОЕ УЧРЕЖДЕНИЕ ВЫСШЕГО ОБРАЗОВАНИЯ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«БЕЛГОРОДСКИЙ ГОСУДАРСТВЕННЫЙ НАЦИОНАЛЬНЫЙ ИССЛЕДОВАТЕЛЬСКИЙ УНИВЕРСИТЕТ»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4"/>
        </w:rPr>
        <w:t>(НИУ «БелГУ»)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ИНСТИТУТ ИНЖЕНЕРНЫХ И ЦИФРОВЫХ ТЕХНОЛОГИЙ</w:t>
      </w:r>
    </w:p>
    <w:p>
      <w:pPr>
        <w:spacing w:line="360" w:lineRule="auto"/>
        <w:jc w:val="center"/>
      </w:pPr>
      <w:r>
        <w:rPr>
          <w:rFonts w:ascii="Times New Roman" w:hAnsi="Times New Roman"/>
          <w:b w:val="0"/>
          <w:sz w:val="28"/>
        </w:rPr>
        <w:t>КАФЕДРА МАТЕМАТИЧЕСКОГО И ПРОГРАММНОГО ОБЕСПЕЧЕНИЯ ИНФОРМАЦИОННЫХ СИСТЕМ</w:t>
      </w:r>
    </w:p>
    <w:p>
      <w:pPr>
        <w:spacing w:line="360" w:lineRule="auto"/>
        <w:jc w:val="both"/>
      </w:pPr>
    </w:p>
    <w:p>
      <w:pPr>
        <w:spacing w:line="360" w:lineRule="auto"/>
        <w:jc w:val="both"/>
      </w:pPr>
    </w:p>
    <w:p>
      <w:pPr>
        <w:spacing w:line="360" w:lineRule="auto"/>
        <w:jc w:val="both"/>
      </w:pPr>
    </w:p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Теоретические основы компьютерного моделирования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Отчет по лабораторной работе №1</w:t>
      </w:r>
    </w:p>
    <w:p>
      <w:pPr>
        <w:spacing w:line="360" w:lineRule="auto"/>
        <w:jc w:val="both"/>
      </w:pPr>
    </w:p>
    <w:p>
      <w:pPr>
        <w:spacing w:line="360" w:lineRule="auto"/>
        <w:jc w:val="center"/>
      </w:pPr>
      <w:r>
        <w:rPr>
          <w:rFonts w:ascii="Times New Roman" w:hAnsi="Times New Roman"/>
          <w:b w:val="0"/>
          <w:sz w:val="28"/>
        </w:rPr>
        <w:t>Студента 2 курса группы 12002531</w:t>
      </w:r>
    </w:p>
    <w:p>
      <w:pPr>
        <w:spacing w:line="360" w:lineRule="auto"/>
        <w:jc w:val="center"/>
      </w:pPr>
      <w:r>
        <w:rPr>
          <w:rFonts w:ascii="Times New Roman" w:hAnsi="Times New Roman"/>
          <w:b w:val="0"/>
          <w:sz w:val="28"/>
        </w:rPr>
        <w:t>Фролов Артем Алексеевич</w:t>
      </w:r>
    </w:p>
    <w:p>
      <w:pPr>
        <w:spacing w:line="276" w:lineRule="auto" w:before="40" w:after="40"/>
        <w:jc w:val="center"/>
      </w:pPr>
      <w:r/>
      <w:r>
        <w:rPr>
          <w:rFonts w:ascii="Times New Roman" w:hAnsi="Times New Roman"/>
          <w:b/>
          <w:sz w:val="24"/>
        </w:rPr>
        <w:t xml:space="preserve">Репозиторий проекта (GitHub): </w:t>
      </w:r>
      <w:r>
        <w:rPr>
          <w:rFonts w:ascii="Times New Roman" w:hAnsi="Times New Roman"/>
          <w:color w:val="0046A0"/>
          <w:sz w:val="24"/>
          <w:u w:val="single"/>
        </w:rPr>
        <w:t>https://github.com/Kazinagg/bsu-tokm-labs</w:t>
      </w:r>
    </w:p>
    <w:p>
      <w:pPr>
        <w:spacing w:line="360" w:lineRule="auto"/>
        <w:jc w:val="both"/>
      </w:pPr>
    </w:p>
    <w:p>
      <w:pPr>
        <w:spacing w:line="360" w:lineRule="auto"/>
        <w:ind w:left="4252"/>
      </w:pPr>
      <w:r>
        <w:rPr>
          <w:rFonts w:ascii="Times New Roman" w:hAnsi="Times New Roman"/>
          <w:b/>
          <w:sz w:val="28"/>
        </w:rPr>
        <w:t>Проверил(а):</w:t>
        <w:br/>
      </w:r>
      <w:r>
        <w:rPr>
          <w:rFonts w:ascii="Times New Roman" w:hAnsi="Times New Roman"/>
          <w:sz w:val="28"/>
        </w:rPr>
        <w:t>доц. Васильев Павел Владимирович</w:t>
      </w:r>
    </w:p>
    <w:p>
      <w:pPr>
        <w:spacing w:line="360" w:lineRule="auto"/>
        <w:jc w:val="both"/>
      </w:pPr>
    </w:p>
    <w:p>
      <w:pPr>
        <w:spacing w:line="360" w:lineRule="auto"/>
        <w:jc w:val="both"/>
      </w:pPr>
    </w:p>
    <w:p>
      <w:pPr>
        <w:spacing w:line="360" w:lineRule="auto"/>
        <w:jc w:val="both"/>
      </w:pPr>
    </w:p>
    <w:p>
      <w:pPr>
        <w:spacing w:line="360" w:lineRule="auto"/>
        <w:jc w:val="both"/>
      </w:pPr>
    </w:p>
    <w:p>
      <w:pPr>
        <w:spacing w:line="360" w:lineRule="auto"/>
        <w:jc w:val="both"/>
      </w:pPr>
    </w:p>
    <w:p>
      <w:pPr>
        <w:spacing w:line="360" w:lineRule="auto"/>
        <w:jc w:val="both"/>
      </w:pPr>
    </w:p>
    <w:p>
      <w:pPr>
        <w:spacing w:line="360" w:lineRule="auto"/>
        <w:jc w:val="center"/>
      </w:pPr>
      <w:r>
        <w:rPr>
          <w:rFonts w:ascii="Times New Roman" w:hAnsi="Times New Roman"/>
          <w:b w:val="0"/>
          <w:sz w:val="28"/>
        </w:rPr>
        <w:t>Белгород 2026</w:t>
      </w:r>
    </w:p>
    <w:p>
      <w:r>
        <w:br w:type="page"/>
      </w: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Тема: Генерация точек и 3D-сфер со случайным равномерным распределением в объёме контейнера средствами библиотеки GLScene</w:t>
      </w: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Цель работы: Изучить принципы 3D-моделирования и математические алгоритмы равномерного распределения случайных точек и объектов в геометрических контейнерах (куб, шар, сфера, цилиндр, конус) с использованием библиотеки векторной 3D-графики GLScene в среде RAD Studio C++Builder, оценить производительность вывода (FPS) и реализовать моделирование времени свечения звезд.</w:t>
      </w:r>
    </w:p>
    <w:p>
      <w:pPr>
        <w:spacing w:line="360" w:lineRule="auto"/>
        <w:jc w:val="both"/>
      </w:pPr>
    </w:p>
    <w:p>
      <w:pPr>
        <w:spacing w:line="360" w:lineRule="auto"/>
        <w:ind w:firstLine="709"/>
        <w:jc w:val="center"/>
      </w:pPr>
      <w:r>
        <w:rPr>
          <w:rFonts w:ascii="Times New Roman" w:hAnsi="Times New Roman"/>
          <w:b/>
          <w:sz w:val="28"/>
        </w:rPr>
        <w:t>ХОД ВЫПОЛНЕНИЯ РАБОТЫ</w:t>
      </w:r>
    </w:p>
    <w:p>
      <w:pPr>
        <w:spacing w:line="360" w:lineRule="auto"/>
        <w:jc w:val="both"/>
      </w:pPr>
    </w:p>
    <w:p>
      <w:pPr>
        <w:spacing w:line="360" w:lineRule="auto"/>
        <w:jc w:val="both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Репозиторий проекта на GitHub: https://github.com/Kazinagg/bsu-tokm-labs. Исходный код лабораторных работ и модели размещены в открытом доступе. В соответствии с регламентом учебной дисциплины, базовые репозитории графического движка GLXEngine (https://github.com/glscene/GLXEngine) и системы компьютерного моделирования AstrobloQ (https://github.com/glscene/AstrobloQ) изучены и отмечены звёздочками.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В рамках выполнения лабораторной работы поставлена задача исследования алгоритмов пространственного моделирования распределения объектов внутри различных 3D-контейнеров с использованием библиотеки GLScene в среде Embarcadero RAD Studio C++Builder 13. Проект разработан на основе VCL-приложения с интеграцией контекста визуализации OpenGL через компонент TGLSceneViewer.</w:t>
      </w:r>
    </w:p>
    <w:p>
      <w:pPr>
        <w:spacing w:line="360" w:lineRule="auto"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2709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rad_studio_wind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70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center"/>
      </w:pPr>
      <w:r>
        <w:rPr>
          <w:rFonts w:ascii="Times New Roman" w:hAnsi="Times New Roman"/>
          <w:sz w:val="28"/>
        </w:rPr>
        <w:t>Рисунок 1 - Интерфейс среды Embarcadero RAD Studio 13 с открытым проектом RandomStars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Для структурирования сцены используется иерархический контейнер TGLDummyCube размером 1024×1024×1024 (свойство CubeSize = 1024), отображающий габаритные границы моделирования и пространственные оси XYZ (ShowAxes = True). Камера TGLCamera ориентирована на центр контейнера (TargetObject = dcBlock) с глубиной видимости DepthOfView = 15000 единиц. Источник света TGLLightSource обеспечивает освещение сцены.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Генерация случайных точек выполнена для шести вариантов геометрии: кубический объем, шар (равномерная объемная плотность сферы), поверхность сферы, цилиндрический объем, поверхность цилиндра и конус. Для обеспечения равномерности плотности точек в полярных и сферических координатах применены законы преобразования вероятностей с вычислением квадратных и кубических корней из случайных величин.</w:t>
      </w:r>
    </w:p>
    <w:p>
      <w:pPr>
        <w:spacing w:line="360" w:lineRule="auto" w:after="40" w:before="120"/>
        <w:jc w:val="left"/>
      </w:pPr>
      <w:r>
        <w:rPr>
          <w:rFonts w:ascii="Times New Roman" w:hAnsi="Times New Roman"/>
          <w:sz w:val="28"/>
        </w:rPr>
        <w:t>Листинг 1 - Модуль uContainers.cpp — алгоритмы генерации точек в 3D-контейнерах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//---------------------------------------------------------------------------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#include &lt;cstdlib&gt;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#include &lt;cmath&gt;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#pragma hdrstop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#include "uContainers.h"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//---------------------------------------------------------------------------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#pragma package(smart_init)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#ifndef M_PI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#define M_PI 3.14159265358979323846f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#endif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static inline float rand01()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{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return (float)rand() / (float)RAND_MAX;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}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// 1. Равномерное распределение в кубе 1024x1024x1024 (от -511 до 511)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Point3D generatePointForCube(float size)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{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Point3D p;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p.x = (rand01() - 0.5f) * size;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p.y = (rand01() - 0.5f) * size;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p.z = (rand01() - 0.5f) * size;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return p;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}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// 2. Равномерное распределение в объеме шара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Point3D generatePointForSphere(float radius)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{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Point3D p;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float phi = 2.0f * M_PI * rand01();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float cosTheta = 2.0f * rand01() - 1.0f;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float sinTheta = sqrtf(1.0f - cosTheta * cosTheta);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// Для равномерной объемной плотности радиус пропорционален кубическому корню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float r = radius * powf(rand01(), 1.0f / 3.0f);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p.x = r * sinTheta * cosf(phi);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p.y = r * sinTheta * sinf(phi);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p.z = r * cosTheta;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return p;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}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// 3. Равномерное распределение на поверхности сферы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Point3D generatePointForSphereSurface(float radius)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{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Point3D p;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float phi = 2.0f * M_PI * rand01();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float cosTheta = 2.0f * rand01() - 1.0f;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float sinTheta = sqrtf(1.0f - cosTheta * cosTheta);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p.x = radius * sinTheta * cosf(phi);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p.y = radius * sinTheta * sinf(phi);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p.z = radius * cosTheta;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return p;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}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// 4. Равномерное распределение в объеме цилиндра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Point3D generatePointForCylinder(float radius, float height)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{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Point3D p;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float phi = 2.0f * M_PI * rand01();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// Для равномерной плотности по площади сечения r пропорционален корню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float r = radius * sqrtf(rand01());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p.x = r * cosf(phi);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p.y = (rand01() - 0.5f) * height;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p.z = r * sinf(phi);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return p;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}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// 5. Равномерное распределение на поверхности цилиндра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Point3D generatePointForCylinderSurface(float radius, float height)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{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Point3D p;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float phi = 2.0f * M_PI * rand01();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p.x = radius * cosf(phi);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p.y = (rand01() - 0.5f) * height;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p.z = radius * sinf(phi);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return p;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}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// 6. Равномерное распределение в объеме конуса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Point3D generatePointForCone(float radius, float height)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{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Point3D p;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float h = rand01(); // Высота от основания (0) к вершине (1)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float currentRadius = radius * (1.0f - h);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float r = currentRadius * sqrtf(rand01());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float phi = 2.0f * M_PI * rand01();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p.x = r * cosf(phi);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p.y = (h - 0.5f) * height;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p.z = r * sinf(phi);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return p;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}</w:t>
      </w:r>
    </w:p>
    <w:p>
      <w:pPr>
        <w:spacing w:line="360" w:lineRule="auto" w:before="40" w:after="120"/>
        <w:jc w:val="left"/>
      </w:pPr>
      <w:r>
        <w:rPr>
          <w:rFonts w:ascii="Times New Roman" w:hAnsi="Times New Roman"/>
          <w:sz w:val="28"/>
        </w:rPr>
        <w:t>Конец листинга 1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На рисунках 2–7 представлены результаты визуализации 100 000 случайных точек в цветовой схеме RGBA для каждого типа геометрического контейнера.</w:t>
      </w:r>
    </w:p>
    <w:p>
      <w:pPr>
        <w:spacing w:line="360" w:lineRule="auto"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40023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ube_poin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002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center"/>
      </w:pPr>
      <w:r>
        <w:rPr>
          <w:rFonts w:ascii="Times New Roman" w:hAnsi="Times New Roman"/>
          <w:sz w:val="28"/>
        </w:rPr>
        <w:t>Рисунок 2 - Равномерное распределение 100 000 точек в кубе 1024×1024×1024</w:t>
      </w:r>
    </w:p>
    <w:p>
      <w:pPr>
        <w:spacing w:line="360" w:lineRule="auto"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40023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phere_volume_poi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002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center"/>
      </w:pPr>
      <w:r>
        <w:rPr>
          <w:rFonts w:ascii="Times New Roman" w:hAnsi="Times New Roman"/>
          <w:sz w:val="28"/>
        </w:rPr>
        <w:t>Рисунок 3 - Равномерное распределение 100 000 точек в объеме шара</w:t>
      </w:r>
    </w:p>
    <w:p>
      <w:pPr>
        <w:spacing w:line="360" w:lineRule="auto"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40023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phere_surface_poin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002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center"/>
      </w:pPr>
      <w:r>
        <w:rPr>
          <w:rFonts w:ascii="Times New Roman" w:hAnsi="Times New Roman"/>
          <w:sz w:val="28"/>
        </w:rPr>
        <w:t>Рисунок 4 - Распределение 100 000 точек на поверхности сферы</w:t>
      </w:r>
    </w:p>
    <w:p>
      <w:pPr>
        <w:spacing w:line="360" w:lineRule="auto"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40023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ylinder_volume_poin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002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center"/>
      </w:pPr>
      <w:r>
        <w:rPr>
          <w:rFonts w:ascii="Times New Roman" w:hAnsi="Times New Roman"/>
          <w:sz w:val="28"/>
        </w:rPr>
        <w:t>Рисунок 5 - Равномерное распределение 100 000 точек в объеме цилиндра</w:t>
      </w:r>
    </w:p>
    <w:p>
      <w:pPr>
        <w:spacing w:line="360" w:lineRule="auto"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40023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ylinder_surface_poin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002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center"/>
      </w:pPr>
      <w:r>
        <w:rPr>
          <w:rFonts w:ascii="Times New Roman" w:hAnsi="Times New Roman"/>
          <w:sz w:val="28"/>
        </w:rPr>
        <w:t>Рисунок 6 - Распределение 100 000 точек на поверхности цилиндра</w:t>
      </w:r>
    </w:p>
    <w:p>
      <w:pPr>
        <w:spacing w:line="360" w:lineRule="auto"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400234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one_poin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002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center"/>
      </w:pPr>
      <w:r>
        <w:rPr>
          <w:rFonts w:ascii="Times New Roman" w:hAnsi="Times New Roman"/>
          <w:sz w:val="28"/>
        </w:rPr>
        <w:t>Рисунок 7 - Равномерное распределение 100 000 точек в объеме конуса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В соответствии с заданием, в приложении реализован альтернативный режим: по радиокнопке «Сферы (TGLSphere 7 цветов)» вместо элементарных точек TGLPoints создается набор 3D-сфер TGLSphere. Каждая сфера имеет случайный нормированный радиус в диапазоне [0, 1] и один из 7 цветов спектра радуги (КОЖЗГСФ: красный, оранжевый, желтый, зеленый, голубой, синий, фиолетовый). Для создания эффекта свечения настроены свойства Diffuse и Emission материала.</w:t>
      </w:r>
    </w:p>
    <w:p>
      <w:pPr>
        <w:spacing w:line="360" w:lineRule="auto" w:after="40" w:before="120"/>
        <w:jc w:val="left"/>
      </w:pPr>
      <w:r>
        <w:rPr>
          <w:rFonts w:ascii="Times New Roman" w:hAnsi="Times New Roman"/>
          <w:sz w:val="28"/>
        </w:rPr>
        <w:t>Листинг 2 - Реализация создания 3D-сфер со спектральными цветами радуги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// Генерация 3D-сфер TGLSphere с 7 цветами радуги [КОЖЗГСФ]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void TForm1::GenerateStarsSpheres(int count, int containerType)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{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int actualCount = count &gt; 300 ? 300 : count;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for (int i = 0; i &lt; actualCount; i++) {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Point3D p = getContainerPoint(containerType);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TGLSphere* sp = (TGLSphere*)(dcBlock-&gt;AddNewChild(__classid(TGLSphere)));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float normRadius = (float)(1 + rand() % 100) / 100.0f;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sp-&gt;Radius = normRadius * 20.0f + 5.0f;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sp-&gt;Position-&gt;SetPoint(p.x, p.y, p.z);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sp-&gt;Stacks = 12; sp-&gt;Slices = 12;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int colIdx = rand() % 7;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float cr = RAINBOW_COLORS[colIdx][0];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float cg = RAINBOW_COLORS[colIdx][1];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float cb = RAINBOW_COLORS[colIdx][2];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sp-&gt;Material-&gt;FrontProperties-&gt;Diffuse-&gt;Color = VectorMake(cr, cg, cb, 1.0f);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sp-&gt;Material-&gt;FrontProperties-&gt;Emission-&gt;Color = VectorMake(cr * 0.4f, cg * 0.4f, cb * 0.4f, 1.0f);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m_spheres.push_back(sp);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}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}</w:t>
      </w:r>
    </w:p>
    <w:p>
      <w:pPr>
        <w:spacing w:line="360" w:lineRule="auto" w:before="40" w:after="120"/>
        <w:jc w:val="left"/>
      </w:pPr>
      <w:r>
        <w:rPr>
          <w:rFonts w:ascii="Times New Roman" w:hAnsi="Times New Roman"/>
          <w:sz w:val="28"/>
        </w:rPr>
        <w:t>Конец листинга 2</w:t>
      </w:r>
    </w:p>
    <w:p>
      <w:pPr>
        <w:spacing w:line="360" w:lineRule="auto"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400234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pheres_rainbow_cub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002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center"/>
      </w:pPr>
      <w:r>
        <w:rPr>
          <w:rFonts w:ascii="Times New Roman" w:hAnsi="Times New Roman"/>
          <w:sz w:val="28"/>
        </w:rPr>
        <w:t>Рисунок 8 - Визуализация 3D-сфер семи цветов радуги [КОЖЗГСФ] в кубическом контейнере</w:t>
      </w:r>
    </w:p>
    <w:p>
      <w:pPr>
        <w:spacing w:line="360" w:lineRule="auto"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400234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pheres_rainbow_spher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002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center"/>
      </w:pPr>
      <w:r>
        <w:rPr>
          <w:rFonts w:ascii="Times New Roman" w:hAnsi="Times New Roman"/>
          <w:sz w:val="28"/>
        </w:rPr>
        <w:t>Рисунок 9 - Визуализация 3D-сфер семи цветов радуги [КОЖЗГСФ] в сферическом контейнере</w:t>
      </w:r>
    </w:p>
    <w:p>
      <w:pPr>
        <w:spacing w:line="360" w:lineRule="auto"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400234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pheres_rainbow_con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002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center"/>
      </w:pPr>
      <w:r>
        <w:rPr>
          <w:rFonts w:ascii="Times New Roman" w:hAnsi="Times New Roman"/>
          <w:sz w:val="28"/>
        </w:rPr>
        <w:t>Рисунок 10 - Визуализация 3D-сфер семи цветов радуги [КОЖЗГСФ] в коническом контейнере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Для моделирования времени свечения звезд в диапазоне [1–100] секунд в компонент TGLCadencer добавлен обработчик OnProgress. В нем на каждом шаге времени deltaTime текущее оставшееся время каждой точки уменьшается. Яркость точки модулируется коэффициентом factor = curLife / maxLife, создавая реалистичный эффект мерцания и затухания. По истечении времени свечения звезда перерождается с новым случайным периодом жизни [1–100] с.</w:t>
      </w:r>
    </w:p>
    <w:p>
      <w:pPr>
        <w:spacing w:line="360" w:lineRule="auto" w:after="40" w:before="120"/>
        <w:jc w:val="left"/>
      </w:pPr>
      <w:r>
        <w:rPr>
          <w:rFonts w:ascii="Times New Roman" w:hAnsi="Times New Roman"/>
          <w:sz w:val="28"/>
        </w:rPr>
        <w:t>Листинг 3 - Обработчик TGLCadencer для моделирования свечения и угасания звезд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// Моделирование длительности свечения точек [1-100] секунд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void __fastcall TForm1::GLCadencer1Progress(TObject* Sender, const double deltaTime, const double newTime)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{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if (chbLifetime-&gt;Checked &amp;&amp; !m_starsLife.empty() &amp;&amp; Stars &amp;&amp; Stars-&gt;Colors-&gt;Count &gt; 0) {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float dt = (float)deltaTime;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int n = (int)m_starsLife.size();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for (int i = 0; i &lt; n; i++) {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    m_starsLife[i].curLife -= dt;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    if (m_starsLife[i].curLife &lt;= 0.0f) {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        m_starsLife[i].maxLife = 1.0f + (float)(rand() % 100);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        m_starsLife[i].curLife = m_starsLife[i].maxLife;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    }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    float factor = m_starsLife[i].curLife / m_starsLife[i].maxLife;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    Stars-&gt;Colors-&gt;Items[i] = VectorMake(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        m_starsLife[i].r * factor,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        m_starsLife[i].g * factor,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        m_starsLife[i].b * factor,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        1.0f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    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}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}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GLSceneViewer1-&gt;Invalidate();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}</w:t>
      </w:r>
    </w:p>
    <w:p>
      <w:pPr>
        <w:spacing w:line="360" w:lineRule="auto" w:before="40" w:after="120"/>
        <w:jc w:val="left"/>
      </w:pPr>
      <w:r>
        <w:rPr>
          <w:rFonts w:ascii="Times New Roman" w:hAnsi="Times New Roman"/>
          <w:sz w:val="28"/>
        </w:rPr>
        <w:t>Конец листинга 3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В строке состояния StatusBar приложения выводится замер времени генерации объектов и текущий показатель частоты кадров (FPS), считываемый методом GLSceneViewer1-&gt;FramesPerSecond(). Для массива из 100 000 точек частота кадров составляет 230–258 FPS при времени генерации менее 0.09 секунды. В режиме 3D-сфер с полигональными сетками и материалами частота обновления превышает 1200 FPS, что подтверждает высокую эффективность использования библиотеки GLScene.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Вывод: </w:t>
      </w:r>
      <w:r>
        <w:rPr>
          <w:rFonts w:ascii="Times New Roman" w:hAnsi="Times New Roman"/>
          <w:sz w:val="28"/>
        </w:rPr>
        <w:t>В ходе выполнения лабораторной работы были изучены архитектура и базовые компоненты библиотеки 3D-графики GLScene (TGLScene, TGLSceneViewer, TGLDummyCube, TGLPoints, TGLSphere, TGLCamera, TGLCadencer). Разработаны математические алгоритмы для равномерного распределения 100 000 точек в различных 3D-контейнерах: куб, объем шара, сфера, объем цилиндра, поверхность цилиндра и конус. Реализован альтернативный режим вывода с динамическим созданием 3D-сфер TGLSphere случайного радиуса и семи спектральных цветов радуги (КОЖЗГСФ). Добавлено моделирование динамического времени жизни и свечения звезд в диапазоне 1–100 секунд с плавным затуханием в каденсере. Измерены показатели производительности графической подсистемы: при отрисовке 100 000 точек в контейнере размером 1024×1024×1024 достигается стабильная частота кадров свыше 230–250 FPS, а при визуализации 3D-сфер со сложными материалами и шейдингом — более 1200 FPS. Поставленная цель работы полностью достигнута.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/>
      <w:color w:val="000000"/>
      <w:sz w:val="28"/>
      <w:rFonts w:ascii="Times New Roman" w:hAnsi="Times New Roman" w:cs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