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ФОРМУЛИРОВКИ УСЛОВИЯ О КАЗНАЧЕЙСКОМ СОПРОВОЖДЕНИИ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для включения в договор / допсоглашение</w:t>
      </w:r>
    </w:p>
    <w:p>
      <w:pPr>
        <w:spacing w:after="80"/>
      </w:pPr>
      <w:r>
        <w:rPr>
          <w:b/>
          <w:i w:val="0"/>
          <w:sz w:val="25"/>
        </w:rPr>
        <w:t>Вариант 1 — пункт в раздел «Порядок расчётов»</w:t>
      </w:r>
    </w:p>
    <w:p>
      <w:pPr>
        <w:spacing w:after="160"/>
        <w:jc w:val="both"/>
      </w:pPr>
      <w:r>
        <w:rPr>
          <w:b w:val="0"/>
          <w:i w:val="0"/>
        </w:rPr>
        <w:t>«Расчёты по настоящему Договору осуществляются в порядке казначейского сопровождения через лицевой счёт, открытый [Подрядчику/Исполнителю] в территориальном органе Федерального казначейства. Идентификатор государственного контракта (ИГК): ____________________. Оплата производится после санкционирования операций территориальным органом Федерального казначейства в соответствии с бюджетным законодательством Российской Федерации. Средства, перечисляемые по настоящему Договору, являются целевыми и расходуются в соответствии с установленным режимом лицевого счёта.»</w:t>
      </w:r>
    </w:p>
    <w:p>
      <w:pPr>
        <w:spacing w:after="80"/>
      </w:pPr>
      <w:r>
        <w:rPr>
          <w:b/>
          <w:i w:val="0"/>
          <w:sz w:val="25"/>
        </w:rPr>
        <w:t>Вариант 2 — обязанность соисполнителя (в договор кооперации)</w:t>
      </w:r>
    </w:p>
    <w:p>
      <w:pPr>
        <w:spacing w:after="160"/>
        <w:jc w:val="both"/>
      </w:pPr>
      <w:r>
        <w:rPr>
          <w:b w:val="0"/>
          <w:i w:val="0"/>
        </w:rPr>
        <w:t>«[Соисполнитель] обязуется в течение ____ рабочих дней с даты заключения настоящего Договора открыть лицевой счёт участника казначейского сопровождения в территориальном органе Федерального казначейства и представить [Исполнителю] его реквизиты. До открытия указанного счёта платежи по настоящему Договору не осуществляются. При расчётах указывается ИГК: ____________________.»</w:t>
      </w:r>
    </w:p>
    <w:p>
      <w:pPr>
        <w:spacing w:after="80"/>
      </w:pPr>
      <w:r>
        <w:rPr>
          <w:b/>
          <w:i w:val="0"/>
          <w:sz w:val="25"/>
        </w:rPr>
        <w:t>Вариант 3 — допсоглашение (если условие пропущено)</w:t>
      </w:r>
    </w:p>
    <w:p>
      <w:pPr>
        <w:spacing w:after="160"/>
        <w:jc w:val="both"/>
      </w:pPr>
      <w:r>
        <w:rPr>
          <w:b w:val="0"/>
          <w:i w:val="0"/>
        </w:rPr>
        <w:t>«1. Дополнить Договор № ______ от ________ пунктом ____ следующего содержания: [текст Варианта 1]. 2. Стороны подтверждают, что расчёты, произведённые до подписания настоящего Дополнительного соглашения, подлежат приведению в соответствие с режимом казначейского сопровождения. 3. Настоящее Дополнительное соглашение вступает в силу с даты подписания.»</w:t>
      </w:r>
    </w:p>
    <w:p>
      <w:pPr>
        <w:spacing w:after="0"/>
      </w:pPr>
      <w:r>
        <w:rPr>
          <w:b w:val="0"/>
          <w:i/>
          <w:color w:val="6B7178"/>
          <w:sz w:val="19"/>
        </w:rPr>
        <w:t>Реквизиты (ИГК, сроки) замените под ваш договор. Для ГОЗ дополнительно используйте условие о раздельном учёте (см. приказ о раздельном учёте).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formulirovka-ks-v-dogovor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