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ПАМЯТКА ПО ЗАПОЛНЕНИЮ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распоряжение о казначейском платеже — ключевые поля (НЕ является бланком: форма распоряжения установлена правилами казначейского обслуживания и заполняется в ГИИС)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21"/>
              </w:rPr>
              <w:t>Поле</w:t>
            </w:r>
          </w:p>
        </w:tc>
        <w:tc>
          <w:tcPr>
            <w:tcW w:type="dxa" w:w="3213"/>
          </w:tcPr>
          <w:p>
            <w:r>
              <w:rPr>
                <w:b/>
                <w:sz w:val="21"/>
              </w:rPr>
              <w:t>Как заполнять</w:t>
            </w:r>
          </w:p>
        </w:tc>
        <w:tc>
          <w:tcPr>
            <w:tcW w:type="dxa" w:w="3213"/>
          </w:tcPr>
          <w:p>
            <w:r>
              <w:rPr>
                <w:b/>
                <w:sz w:val="21"/>
              </w:rPr>
              <w:t>Пример</w:t>
            </w:r>
          </w:p>
        </w:tc>
      </w:tr>
      <w:tr>
        <w:tc>
          <w:tcPr>
            <w:tcW w:type="dxa" w:w="3213"/>
          </w:tcPr>
          <w:p>
            <w:r>
              <w:rPr>
                <w:sz w:val="21"/>
              </w:rPr>
              <w:t>Плательщик</w:t>
            </w:r>
          </w:p>
        </w:tc>
        <w:tc>
          <w:tcPr>
            <w:tcW w:type="dxa" w:w="3213"/>
          </w:tcPr>
          <w:p>
            <w:r>
              <w:rPr>
                <w:sz w:val="21"/>
              </w:rPr>
              <w:t>Организация + лицевой счёт 71</w:t>
            </w:r>
          </w:p>
        </w:tc>
        <w:tc>
          <w:tcPr>
            <w:tcW w:type="dxa" w:w="3213"/>
          </w:tcPr>
          <w:p>
            <w:r>
              <w:rPr>
                <w:sz w:val="21"/>
              </w:rPr>
              <w:t>ООО «Пример», л/с 71XXXXXXXXX в УФК по г. Москве</w:t>
            </w:r>
          </w:p>
        </w:tc>
      </w:tr>
      <w:tr>
        <w:tc>
          <w:tcPr>
            <w:tcW w:type="dxa" w:w="3213"/>
          </w:tcPr>
          <w:p>
            <w:r>
              <w:rPr>
                <w:sz w:val="21"/>
              </w:rPr>
              <w:t>Получатель</w:t>
            </w:r>
          </w:p>
        </w:tc>
        <w:tc>
          <w:tcPr>
            <w:tcW w:type="dxa" w:w="3213"/>
          </w:tcPr>
          <w:p>
            <w:r>
              <w:rPr>
                <w:sz w:val="21"/>
              </w:rPr>
              <w:t>Контрагент по документу-основанию</w:t>
            </w:r>
          </w:p>
        </w:tc>
        <w:tc>
          <w:tcPr>
            <w:tcW w:type="dxa" w:w="3213"/>
          </w:tcPr>
          <w:p>
            <w:r>
              <w:rPr>
                <w:sz w:val="21"/>
              </w:rPr>
              <w:t>ООО «Поставщик», р/с …</w:t>
            </w:r>
          </w:p>
        </w:tc>
      </w:tr>
      <w:tr>
        <w:tc>
          <w:tcPr>
            <w:tcW w:type="dxa" w:w="3213"/>
          </w:tcPr>
          <w:p>
            <w:r>
              <w:rPr>
                <w:sz w:val="21"/>
              </w:rPr>
              <w:t>ИГК</w:t>
            </w:r>
          </w:p>
        </w:tc>
        <w:tc>
          <w:tcPr>
            <w:tcW w:type="dxa" w:w="3213"/>
          </w:tcPr>
          <w:p>
            <w:r>
              <w:rPr>
                <w:sz w:val="21"/>
              </w:rPr>
              <w:t>Посимвольно из контракта/ЕИС</w:t>
            </w:r>
          </w:p>
        </w:tc>
        <w:tc>
          <w:tcPr>
            <w:tcW w:type="dxa" w:w="3213"/>
          </w:tcPr>
          <w:p>
            <w:r>
              <w:rPr>
                <w:sz w:val="21"/>
              </w:rPr>
              <w:t>____________________</w:t>
            </w:r>
          </w:p>
        </w:tc>
      </w:tr>
      <w:tr>
        <w:tc>
          <w:tcPr>
            <w:tcW w:type="dxa" w:w="3213"/>
          </w:tcPr>
          <w:p>
            <w:r>
              <w:rPr>
                <w:sz w:val="21"/>
              </w:rPr>
              <w:t>Код направления</w:t>
            </w:r>
          </w:p>
        </w:tc>
        <w:tc>
          <w:tcPr>
            <w:tcW w:type="dxa" w:w="3213"/>
          </w:tcPr>
          <w:p>
            <w:r>
              <w:rPr>
                <w:sz w:val="21"/>
              </w:rPr>
              <w:t>По справочнику и Сведениям</w:t>
            </w:r>
          </w:p>
        </w:tc>
        <w:tc>
          <w:tcPr>
            <w:tcW w:type="dxa" w:w="3213"/>
          </w:tcPr>
          <w:p>
            <w:r>
              <w:rPr>
                <w:sz w:val="21"/>
              </w:rPr>
              <w:t>0200 / 9100 / …</w:t>
            </w:r>
          </w:p>
        </w:tc>
      </w:tr>
      <w:tr>
        <w:tc>
          <w:tcPr>
            <w:tcW w:type="dxa" w:w="3213"/>
          </w:tcPr>
          <w:p>
            <w:r>
              <w:rPr>
                <w:sz w:val="21"/>
              </w:rPr>
              <w:t>Сумма</w:t>
            </w:r>
          </w:p>
        </w:tc>
        <w:tc>
          <w:tcPr>
            <w:tcW w:type="dxa" w:w="3213"/>
          </w:tcPr>
          <w:p>
            <w:r>
              <w:rPr>
                <w:sz w:val="21"/>
              </w:rPr>
              <w:t>В пределах остатка по коду Сведений</w:t>
            </w:r>
          </w:p>
        </w:tc>
        <w:tc>
          <w:tcPr>
            <w:tcW w:type="dxa" w:w="3213"/>
          </w:tcPr>
          <w:p>
            <w:r>
              <w:rPr>
                <w:sz w:val="21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5"/>
        </w:rPr>
        <w:t>Готовые формулировки назначения</w:t>
      </w:r>
    </w:p>
    <w:p>
      <w:pPr>
        <w:spacing w:after="160"/>
        <w:jc w:val="both"/>
      </w:pPr>
      <w:r>
        <w:rPr>
          <w:b w:val="0"/>
          <w:i w:val="0"/>
        </w:rPr>
        <w:t>1) Прямая оплата: «{код}; ИГК {…}; оплата материалов по счёту № … от … по договору поставки № … от … в рамках контракта № … от …; НДС 20% — … руб.»</w:t>
      </w:r>
    </w:p>
    <w:p>
      <w:pPr>
        <w:spacing w:after="160"/>
        <w:jc w:val="both"/>
      </w:pPr>
      <w:r>
        <w:rPr>
          <w:b w:val="0"/>
          <w:i w:val="0"/>
        </w:rPr>
        <w:t>2) Возмещение: «{код 9XXX}; ИГК {…}; возмещение произведённых расходов на оплату труда за {месяц} по ведомости № … от … в рамках контракта № …; без НДС.»</w:t>
      </w:r>
    </w:p>
    <w:p>
      <w:pPr>
        <w:spacing w:after="160"/>
        <w:jc w:val="both"/>
      </w:pPr>
      <w:r>
        <w:rPr>
          <w:b w:val="0"/>
          <w:i w:val="0"/>
        </w:rPr>
        <w:t>3) Оплата соисполнителю: «{код}; ИГК {…}; оплата работ по договору субподряда № … от …, акт № … от …, на лицевой счёт соисполнителя № …; НДС … руб.»</w:t>
      </w:r>
    </w:p>
    <w:p>
      <w:pPr>
        <w:spacing w:after="0"/>
      </w:pPr>
      <w:r>
        <w:rPr>
          <w:b w:val="0"/>
          <w:i/>
          <w:color w:val="6B7178"/>
          <w:sz w:val="19"/>
        </w:rPr>
        <w:t>Перед подачей — чек-лист проверки документов (4 зоны). Шаблон: kazna-gov.ru/obraztsy/ · v2.0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platezhnoe-poruchenie-obrazec · v2.0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