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A487" w14:textId="77777777" w:rsidR="004039C4" w:rsidRPr="00644E5D" w:rsidRDefault="004039C4" w:rsidP="004039C4">
      <w:pPr>
        <w:rPr>
          <w:rFonts w:ascii="Arial" w:hAnsi="Arial" w:cs="Arial"/>
          <w:color w:val="000000" w:themeColor="text1"/>
        </w:rPr>
      </w:pPr>
      <w:r w:rsidRPr="00644E5D">
        <w:rPr>
          <w:rFonts w:ascii="Arial" w:hAnsi="Arial" w:cs="Arial"/>
          <w:color w:val="000000" w:themeColor="text1"/>
        </w:rPr>
        <w:t xml:space="preserve">Laura Nowogórska 242479 </w:t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  <w:t>Rok akademicki 2022/2023</w:t>
      </w:r>
    </w:p>
    <w:p w14:paraId="3B5791F4" w14:textId="77777777" w:rsidR="004039C4" w:rsidRPr="00644E5D" w:rsidRDefault="004039C4" w:rsidP="004039C4">
      <w:pPr>
        <w:rPr>
          <w:rFonts w:ascii="Arial" w:hAnsi="Arial" w:cs="Arial"/>
          <w:color w:val="000000" w:themeColor="text1"/>
        </w:rPr>
      </w:pPr>
      <w:r w:rsidRPr="00644E5D">
        <w:rPr>
          <w:rFonts w:ascii="Arial" w:hAnsi="Arial" w:cs="Arial"/>
          <w:color w:val="000000" w:themeColor="text1"/>
        </w:rPr>
        <w:t xml:space="preserve">Szymon Wydmuch 242568 </w:t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  <w:t>Wtorek, 14:00</w:t>
      </w:r>
    </w:p>
    <w:p w14:paraId="29871F59" w14:textId="77777777" w:rsidR="004039C4" w:rsidRPr="00644E5D" w:rsidRDefault="004039C4" w:rsidP="004039C4">
      <w:pPr>
        <w:rPr>
          <w:rFonts w:ascii="Arial" w:hAnsi="Arial" w:cs="Arial"/>
          <w:color w:val="000000" w:themeColor="text1"/>
        </w:rPr>
      </w:pPr>
    </w:p>
    <w:p w14:paraId="3FCA6DC7" w14:textId="77777777" w:rsidR="004039C4" w:rsidRPr="00644E5D" w:rsidRDefault="004039C4" w:rsidP="004039C4">
      <w:pPr>
        <w:rPr>
          <w:rFonts w:ascii="Arial" w:hAnsi="Arial" w:cs="Arial"/>
          <w:color w:val="000000" w:themeColor="text1"/>
        </w:rPr>
      </w:pPr>
    </w:p>
    <w:p w14:paraId="53E239F7" w14:textId="77777777" w:rsidR="004039C4" w:rsidRPr="00644E5D" w:rsidRDefault="004039C4" w:rsidP="004039C4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644E5D">
        <w:rPr>
          <w:rFonts w:ascii="Arial" w:hAnsi="Arial" w:cs="Arial"/>
          <w:b/>
          <w:bCs/>
          <w:color w:val="000000" w:themeColor="text1"/>
        </w:rPr>
        <w:t>METODY NUMERYCZNE – LABORATORIUM</w:t>
      </w:r>
    </w:p>
    <w:p w14:paraId="28D6AE4B" w14:textId="17F2B101" w:rsidR="004039C4" w:rsidRPr="00644E5D" w:rsidRDefault="004039C4" w:rsidP="004039C4">
      <w:pPr>
        <w:jc w:val="center"/>
        <w:rPr>
          <w:rFonts w:ascii="Arial" w:hAnsi="Arial" w:cs="Arial"/>
          <w:i/>
          <w:iCs/>
          <w:color w:val="000000" w:themeColor="text1"/>
          <w:sz w:val="36"/>
          <w:szCs w:val="36"/>
        </w:rPr>
      </w:pPr>
      <w:r w:rsidRPr="00644E5D">
        <w:rPr>
          <w:rFonts w:ascii="Arial" w:hAnsi="Arial" w:cs="Arial"/>
          <w:color w:val="000000" w:themeColor="text1"/>
        </w:rPr>
        <w:t xml:space="preserve">Zadanie </w:t>
      </w:r>
      <w:r w:rsidR="0088735B">
        <w:rPr>
          <w:rFonts w:ascii="Arial" w:hAnsi="Arial" w:cs="Arial"/>
          <w:color w:val="000000" w:themeColor="text1"/>
        </w:rPr>
        <w:t>4</w:t>
      </w:r>
      <w:r w:rsidRPr="00644E5D">
        <w:rPr>
          <w:rFonts w:ascii="Arial" w:hAnsi="Arial" w:cs="Arial"/>
          <w:i/>
          <w:iCs/>
          <w:color w:val="000000" w:themeColor="text1"/>
        </w:rPr>
        <w:t xml:space="preserve"> </w:t>
      </w:r>
      <w:r w:rsidRPr="00644E5D">
        <w:rPr>
          <w:rFonts w:ascii="Arial" w:hAnsi="Arial" w:cs="Arial"/>
          <w:color w:val="000000" w:themeColor="text1"/>
        </w:rPr>
        <w:t xml:space="preserve">– </w:t>
      </w:r>
      <w:r w:rsidR="0088735B">
        <w:rPr>
          <w:rFonts w:ascii="Arial" w:hAnsi="Arial" w:cs="Arial"/>
          <w:color w:val="000000" w:themeColor="text1"/>
        </w:rPr>
        <w:t>całkowanie numeryczne</w:t>
      </w:r>
    </w:p>
    <w:p w14:paraId="4EE94CDC" w14:textId="77777777" w:rsidR="004039C4" w:rsidRPr="00644E5D" w:rsidRDefault="004039C4" w:rsidP="004039C4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7897E5D8" w14:textId="76599B0F" w:rsidR="00794710" w:rsidRDefault="004039C4" w:rsidP="00794710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644E5D">
        <w:rPr>
          <w:rFonts w:ascii="Arial" w:hAnsi="Arial" w:cs="Arial"/>
          <w:b/>
          <w:bCs/>
          <w:color w:val="000000" w:themeColor="text1"/>
          <w:sz w:val="20"/>
          <w:szCs w:val="20"/>
        </w:rPr>
        <w:t>Opis rozwiązania</w:t>
      </w:r>
    </w:p>
    <w:p w14:paraId="669E7792" w14:textId="69777667" w:rsidR="00794710" w:rsidRDefault="00794710" w:rsidP="00794710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Do rozwiązania zadania użyliśmy dwóch metod całkowania numerycznego: złożonej kwadratury Newtona-Cotesa opartej na trzech węzłach(wzór Simpsona) i kwadratury Gaussa – wielomiany Hermite’a.</w:t>
      </w:r>
    </w:p>
    <w:p w14:paraId="27063C63" w14:textId="57332D00" w:rsidR="00961F91" w:rsidRDefault="00961F91" w:rsidP="00794710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Przebieg algorytmu dla Newtona-Cotesa:</w:t>
      </w:r>
    </w:p>
    <w:p w14:paraId="61524798" w14:textId="0417B3D6" w:rsidR="00961F91" w:rsidRDefault="00961F91" w:rsidP="00961F91">
      <w:pPr>
        <w:pStyle w:val="Akapitzlist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Podział przedziału całkowania na </w:t>
      </w:r>
      <w:r w:rsidR="000C4D1F">
        <w:rPr>
          <w:rFonts w:ascii="Arial" w:hAnsi="Arial" w:cs="Arial"/>
          <w:color w:val="000000" w:themeColor="text1"/>
          <w:sz w:val="20"/>
          <w:szCs w:val="20"/>
        </w:rPr>
        <w:t>n*2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przedział</w:t>
      </w:r>
      <w:r w:rsidR="00B539CE">
        <w:rPr>
          <w:rFonts w:ascii="Arial" w:hAnsi="Arial" w:cs="Arial"/>
          <w:color w:val="000000" w:themeColor="text1"/>
          <w:sz w:val="20"/>
          <w:szCs w:val="20"/>
        </w:rPr>
        <w:t>ów</w:t>
      </w:r>
      <w:r w:rsidR="006D1625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BB7271D" w14:textId="11AA55B0" w:rsidR="00961F91" w:rsidRDefault="00961F91" w:rsidP="00961F91">
      <w:pPr>
        <w:pStyle w:val="Akapitzlist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Obliczenie połowy długości podprzedziału:</w:t>
      </w:r>
    </w:p>
    <w:p w14:paraId="70581CCF" w14:textId="1A1E6A49" w:rsidR="00190446" w:rsidRPr="00190446" w:rsidRDefault="00190446" w:rsidP="00190446">
      <w:pPr>
        <w:pStyle w:val="Akapitzlist"/>
        <w:rPr>
          <w:rFonts w:ascii="Arial" w:hAnsi="Arial" w:cs="Arial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h</m:t>
          </m:r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b-a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n*2</m:t>
              </m:r>
            </m:den>
          </m:f>
        </m:oMath>
      </m:oMathPara>
    </w:p>
    <w:p w14:paraId="62EECF66" w14:textId="1A9269D3" w:rsidR="00190446" w:rsidRDefault="00E84A3F" w:rsidP="00190446">
      <w:pPr>
        <w:pStyle w:val="Akapitzlist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</w:rPr>
      </w:pPr>
      <w:r w:rsidRPr="00190446">
        <w:rPr>
          <w:rFonts w:ascii="Arial" w:hAnsi="Arial" w:cs="Arial"/>
          <w:color w:val="000000" w:themeColor="text1"/>
          <w:sz w:val="20"/>
          <w:szCs w:val="20"/>
        </w:rPr>
        <w:t xml:space="preserve">Obliczenie </w:t>
      </w:r>
      <w:r w:rsidR="00190446">
        <w:rPr>
          <w:rFonts w:ascii="Arial" w:hAnsi="Arial" w:cs="Arial"/>
          <w:color w:val="000000" w:themeColor="text1"/>
          <w:sz w:val="20"/>
          <w:szCs w:val="20"/>
        </w:rPr>
        <w:t>pola każdego z podprzedziałów:</w:t>
      </w:r>
    </w:p>
    <w:p w14:paraId="77436931" w14:textId="74678F90" w:rsidR="00190446" w:rsidRPr="00AF748D" w:rsidRDefault="00190446" w:rsidP="00190446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h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(g(a)</m:t>
          </m:r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f(a)+4</m:t>
          </m:r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g(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a+b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)</m:t>
          </m:r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f(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a+b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)+</m:t>
          </m:r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g(</m:t>
          </m:r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b</m:t>
          </m:r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)</m:t>
          </m:r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f(b)</m:t>
          </m:r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)</m:t>
          </m:r>
        </m:oMath>
      </m:oMathPara>
    </w:p>
    <w:p w14:paraId="43FB6AE4" w14:textId="52ACB087" w:rsidR="00AF748D" w:rsidRDefault="00AF748D" w:rsidP="00190446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Gdzie g jest funkcją wagową - </w:t>
      </w:r>
      <m:oMath>
        <m:r>
          <w:rPr>
            <w:rFonts w:ascii="Cambria Math" w:hAnsi="Cambria Math" w:cs="Arial"/>
            <w:color w:val="000000" w:themeColor="text1"/>
            <w:sz w:val="20"/>
            <w:szCs w:val="20"/>
          </w:rPr>
          <m:t>g(x)=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</w:rPr>
                  <m:t>2</m:t>
                </m:r>
              </m:sup>
            </m:sSup>
          </m:sup>
        </m:sSup>
      </m:oMath>
      <w:r>
        <w:rPr>
          <w:rFonts w:ascii="Arial" w:hAnsi="Arial" w:cs="Arial"/>
          <w:color w:val="000000" w:themeColor="text1"/>
          <w:sz w:val="20"/>
          <w:szCs w:val="20"/>
        </w:rPr>
        <w:t>, dodaną na potrzeby porównywania wyników obu metod.</w:t>
      </w:r>
    </w:p>
    <w:p w14:paraId="45FD0B67" w14:textId="31C23FD6" w:rsidR="00B539CE" w:rsidRDefault="00B539CE" w:rsidP="00B539CE">
      <w:pPr>
        <w:pStyle w:val="Akapitzlist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Zsumowanie otrzymanych pól</w:t>
      </w:r>
      <w:r w:rsidR="006D1625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5FB992A" w14:textId="17A40621" w:rsidR="00B539CE" w:rsidRDefault="000C4D1F" w:rsidP="00B539CE">
      <w:pPr>
        <w:ind w:left="3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Algorytm powtarzany jest do momentu, w którym zostaje uzyskana dokładność wybran</w:t>
      </w:r>
      <w:r w:rsidR="005F5472">
        <w:rPr>
          <w:rFonts w:ascii="Arial" w:hAnsi="Arial" w:cs="Arial"/>
          <w:color w:val="000000" w:themeColor="text1"/>
          <w:sz w:val="20"/>
          <w:szCs w:val="20"/>
        </w:rPr>
        <w:t>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przez użytkownika.</w:t>
      </w:r>
    </w:p>
    <w:p w14:paraId="0A8BCD79" w14:textId="1FB84F76" w:rsidR="008150D1" w:rsidRDefault="008150D1" w:rsidP="008150D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Przebieg algorytmu dla Gaussa</w:t>
      </w:r>
    </w:p>
    <w:p w14:paraId="4BE8D1A9" w14:textId="5E0DA5B8" w:rsidR="008150D1" w:rsidRDefault="008150D1" w:rsidP="008150D1">
      <w:pPr>
        <w:pStyle w:val="Akapitzlist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Wczytanie odpowiedniej tablicy(w zależności od ilości węzłów) współczynników.</w:t>
      </w:r>
    </w:p>
    <w:p w14:paraId="724D2BC3" w14:textId="6C8AE991" w:rsidR="008150D1" w:rsidRDefault="008150D1" w:rsidP="006270E2">
      <w:pPr>
        <w:pStyle w:val="Akapitzlist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Obliczenie dla każdego węzła wartości:</w:t>
      </w:r>
      <w:r w:rsidR="006270E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Arial"/>
            <w:color w:val="000000" w:themeColor="text1"/>
            <w:sz w:val="20"/>
            <w:szCs w:val="20"/>
          </w:rPr>
          <m:t>f(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Arial"/>
            <w:color w:val="000000" w:themeColor="text1"/>
            <w:sz w:val="20"/>
            <w:szCs w:val="20"/>
          </w:rPr>
          <m:t>)</m:t>
        </m:r>
      </m:oMath>
      <w:r w:rsidR="006270E2">
        <w:rPr>
          <w:rFonts w:ascii="Arial" w:hAnsi="Arial" w:cs="Arial"/>
          <w:color w:val="000000" w:themeColor="text1"/>
          <w:sz w:val="20"/>
          <w:szCs w:val="20"/>
        </w:rPr>
        <w:t xml:space="preserve">, gdzie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i</m:t>
            </m:r>
          </m:sub>
        </m:sSub>
      </m:oMath>
      <w:r w:rsidR="006270E2">
        <w:rPr>
          <w:rFonts w:ascii="Arial" w:hAnsi="Arial" w:cs="Arial"/>
          <w:color w:val="000000" w:themeColor="text1"/>
          <w:sz w:val="20"/>
          <w:szCs w:val="20"/>
        </w:rPr>
        <w:t xml:space="preserve"> oraz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i</m:t>
            </m:r>
          </m:sub>
        </m:sSub>
      </m:oMath>
      <w:r w:rsidR="006270E2">
        <w:rPr>
          <w:rFonts w:ascii="Arial" w:hAnsi="Arial" w:cs="Arial"/>
          <w:color w:val="000000" w:themeColor="text1"/>
          <w:sz w:val="20"/>
          <w:szCs w:val="20"/>
        </w:rPr>
        <w:t xml:space="preserve"> są odczytywane z tablicy.</w:t>
      </w:r>
    </w:p>
    <w:p w14:paraId="1C8E6A77" w14:textId="370C2E47" w:rsidR="00190446" w:rsidRPr="0072375E" w:rsidRDefault="006270E2" w:rsidP="00190446">
      <w:pPr>
        <w:pStyle w:val="Akapitzlist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Zsumowanie uzyskanych wartości.</w:t>
      </w:r>
    </w:p>
    <w:p w14:paraId="78E87BF4" w14:textId="1AC94BE4" w:rsidR="001422DC" w:rsidRDefault="004039C4" w:rsidP="00190446">
      <w:pPr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</w:pPr>
      <w:r w:rsidRPr="00190446"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  <w:t>Wyniki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  <w:gridCol w:w="2126"/>
        <w:gridCol w:w="2263"/>
      </w:tblGrid>
      <w:tr w:rsidR="004C1F4A" w14:paraId="0E9A7005" w14:textId="01DABC6A" w:rsidTr="00C75961">
        <w:tc>
          <w:tcPr>
            <w:tcW w:w="1555" w:type="dxa"/>
            <w:vAlign w:val="center"/>
          </w:tcPr>
          <w:p w14:paraId="49B0686D" w14:textId="606DDE7B" w:rsidR="004C1F4A" w:rsidRPr="00A0110F" w:rsidRDefault="004C1F4A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110F">
              <w:rPr>
                <w:rFonts w:ascii="Arial" w:hAnsi="Arial" w:cs="Arial"/>
                <w:color w:val="000000" w:themeColor="text1"/>
                <w:sz w:val="20"/>
                <w:szCs w:val="20"/>
              </w:rPr>
              <w:t>Funkcja</w:t>
            </w:r>
          </w:p>
        </w:tc>
        <w:tc>
          <w:tcPr>
            <w:tcW w:w="2126" w:type="dxa"/>
            <w:vAlign w:val="center"/>
          </w:tcPr>
          <w:p w14:paraId="0FA2FB69" w14:textId="616C977D" w:rsidR="004C1F4A" w:rsidRPr="00A0110F" w:rsidRDefault="004C1F4A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Wynik teoretyczny</w:t>
            </w:r>
          </w:p>
        </w:tc>
        <w:tc>
          <w:tcPr>
            <w:tcW w:w="2126" w:type="dxa"/>
            <w:vAlign w:val="center"/>
          </w:tcPr>
          <w:p w14:paraId="7A93AE80" w14:textId="10EAE287" w:rsidR="004C1F4A" w:rsidRPr="00A0110F" w:rsidRDefault="004C1F4A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Kwadratura Gaussa-Hermite’a (5 węzłów)</w:t>
            </w:r>
          </w:p>
        </w:tc>
        <w:tc>
          <w:tcPr>
            <w:tcW w:w="2126" w:type="dxa"/>
            <w:vAlign w:val="center"/>
          </w:tcPr>
          <w:p w14:paraId="55631D6A" w14:textId="20BBF23A" w:rsidR="004C1F4A" w:rsidRDefault="004C1F4A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Kwadratura Gaussa-Hermite’a (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 węzły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63" w:type="dxa"/>
            <w:vAlign w:val="center"/>
          </w:tcPr>
          <w:p w14:paraId="3F7ACF8D" w14:textId="535B19B0" w:rsidR="004C1F4A" w:rsidRDefault="004C1F4A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Kwadratura Newtona-Cotesa</w:t>
            </w:r>
            <w:r w:rsidR="00981E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(eps=1e-8)</w:t>
            </w:r>
          </w:p>
        </w:tc>
      </w:tr>
      <w:tr w:rsidR="004C1F4A" w14:paraId="6ADC9AD9" w14:textId="65793209" w:rsidTr="00C75961">
        <w:tc>
          <w:tcPr>
            <w:tcW w:w="1555" w:type="dxa"/>
            <w:vAlign w:val="center"/>
          </w:tcPr>
          <w:p w14:paraId="55C82BAF" w14:textId="2AD72313" w:rsidR="004C1F4A" w:rsidRPr="00A0110F" w:rsidRDefault="004C1F4A" w:rsidP="00A0110F">
            <w:pPr>
              <w:tabs>
                <w:tab w:val="left" w:pos="960"/>
              </w:tabs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</w:rPr>
                  <m:t>|x-5|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7B40B76E" w14:textId="77621358" w:rsidR="004C1F4A" w:rsidRPr="00A0110F" w:rsidRDefault="004C1F4A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8.862</w:t>
            </w:r>
          </w:p>
        </w:tc>
        <w:tc>
          <w:tcPr>
            <w:tcW w:w="2126" w:type="dxa"/>
            <w:vAlign w:val="center"/>
          </w:tcPr>
          <w:p w14:paraId="7CC9F583" w14:textId="3135B24B" w:rsidR="004C1F4A" w:rsidRPr="004C1F4A" w:rsidRDefault="004C1F4A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C1F4A">
              <w:rPr>
                <w:rFonts w:ascii="Arial" w:hAnsi="Arial" w:cs="Arial"/>
                <w:color w:val="000000" w:themeColor="text1"/>
                <w:sz w:val="20"/>
                <w:szCs w:val="20"/>
              </w:rPr>
              <w:t>8.862264</w:t>
            </w:r>
          </w:p>
        </w:tc>
        <w:tc>
          <w:tcPr>
            <w:tcW w:w="2126" w:type="dxa"/>
            <w:vAlign w:val="center"/>
          </w:tcPr>
          <w:p w14:paraId="16E8E840" w14:textId="3AF09A88" w:rsidR="004C1F4A" w:rsidRPr="00A0110F" w:rsidRDefault="004D038F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D038F">
              <w:rPr>
                <w:rFonts w:ascii="Arial" w:hAnsi="Arial" w:cs="Arial"/>
                <w:color w:val="000000" w:themeColor="text1"/>
                <w:sz w:val="20"/>
                <w:szCs w:val="20"/>
              </w:rPr>
              <w:t>8.86227</w:t>
            </w:r>
          </w:p>
        </w:tc>
        <w:tc>
          <w:tcPr>
            <w:tcW w:w="2263" w:type="dxa"/>
            <w:vAlign w:val="center"/>
          </w:tcPr>
          <w:p w14:paraId="75815DA1" w14:textId="04CE6D7C" w:rsidR="004C1F4A" w:rsidRPr="00A0110F" w:rsidRDefault="00981E4C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1E4C">
              <w:rPr>
                <w:rFonts w:ascii="Arial" w:hAnsi="Arial" w:cs="Arial"/>
                <w:color w:val="000000" w:themeColor="text1"/>
                <w:sz w:val="20"/>
                <w:szCs w:val="20"/>
              </w:rPr>
              <w:t>8.86226</w:t>
            </w:r>
          </w:p>
        </w:tc>
      </w:tr>
      <w:tr w:rsidR="004C1F4A" w14:paraId="1DCE7069" w14:textId="7EF1EBEF" w:rsidTr="00C75961">
        <w:tc>
          <w:tcPr>
            <w:tcW w:w="1555" w:type="dxa"/>
            <w:vAlign w:val="center"/>
          </w:tcPr>
          <w:p w14:paraId="2C2D6534" w14:textId="3E7DBF81" w:rsidR="004C1F4A" w:rsidRPr="00A0110F" w:rsidRDefault="004C1F4A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20"/>
                        <w:szCs w:val="20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126" w:type="dxa"/>
            <w:vAlign w:val="center"/>
          </w:tcPr>
          <w:p w14:paraId="649044CB" w14:textId="0C1915C2" w:rsidR="004C1F4A" w:rsidRPr="00A0110F" w:rsidRDefault="004C1F4A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1.99866</w:t>
            </w:r>
          </w:p>
        </w:tc>
        <w:tc>
          <w:tcPr>
            <w:tcW w:w="2126" w:type="dxa"/>
            <w:vAlign w:val="center"/>
          </w:tcPr>
          <w:p w14:paraId="0DAC15D6" w14:textId="7405C0C8" w:rsidR="004C1F4A" w:rsidRPr="004C1F4A" w:rsidRDefault="004C1F4A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C1F4A">
              <w:rPr>
                <w:rFonts w:ascii="Arial" w:hAnsi="Arial" w:cs="Arial"/>
                <w:color w:val="000000" w:themeColor="text1"/>
                <w:sz w:val="20"/>
                <w:szCs w:val="20"/>
              </w:rPr>
              <w:t>1.998660</w:t>
            </w:r>
          </w:p>
        </w:tc>
        <w:tc>
          <w:tcPr>
            <w:tcW w:w="2126" w:type="dxa"/>
            <w:vAlign w:val="center"/>
          </w:tcPr>
          <w:p w14:paraId="4C353AC8" w14:textId="1BC1BB2F" w:rsidR="004C1F4A" w:rsidRPr="00A0110F" w:rsidRDefault="004D038F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D038F">
              <w:rPr>
                <w:rFonts w:ascii="Arial" w:hAnsi="Arial" w:cs="Arial"/>
                <w:color w:val="000000" w:themeColor="text1"/>
                <w:sz w:val="20"/>
                <w:szCs w:val="20"/>
              </w:rPr>
              <w:t>1.998446</w:t>
            </w:r>
          </w:p>
        </w:tc>
        <w:tc>
          <w:tcPr>
            <w:tcW w:w="2263" w:type="dxa"/>
            <w:vAlign w:val="center"/>
          </w:tcPr>
          <w:p w14:paraId="21F5392C" w14:textId="19653F7E" w:rsidR="004C1F4A" w:rsidRPr="00A0110F" w:rsidRDefault="00981E4C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1E4C">
              <w:rPr>
                <w:rFonts w:ascii="Arial" w:hAnsi="Arial" w:cs="Arial"/>
                <w:color w:val="000000" w:themeColor="text1"/>
                <w:sz w:val="20"/>
                <w:szCs w:val="20"/>
              </w:rPr>
              <w:t>1.998662</w:t>
            </w:r>
          </w:p>
        </w:tc>
      </w:tr>
      <w:tr w:rsidR="004C1F4A" w14:paraId="2968B49A" w14:textId="579EFE83" w:rsidTr="00C75961">
        <w:tc>
          <w:tcPr>
            <w:tcW w:w="1555" w:type="dxa"/>
            <w:vAlign w:val="center"/>
          </w:tcPr>
          <w:p w14:paraId="13BB326E" w14:textId="0FD2F394" w:rsidR="004C1F4A" w:rsidRPr="00A0110F" w:rsidRDefault="004C1F4A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sz w:val="20"/>
                    <w:szCs w:val="20"/>
                  </w:rPr>
                  <m:t>4log(x+3)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0F8A67FA" w14:textId="6AF6CEBC" w:rsidR="004C1F4A" w:rsidRPr="00A0110F" w:rsidRDefault="009C59A4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0.652049</w:t>
            </w:r>
          </w:p>
        </w:tc>
        <w:tc>
          <w:tcPr>
            <w:tcW w:w="2126" w:type="dxa"/>
            <w:vAlign w:val="center"/>
          </w:tcPr>
          <w:p w14:paraId="4BC39645" w14:textId="7236BDBB" w:rsidR="004C1F4A" w:rsidRPr="006C1636" w:rsidRDefault="006C1636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1636">
              <w:rPr>
                <w:rFonts w:ascii="Arial" w:hAnsi="Arial" w:cs="Arial"/>
                <w:color w:val="000000" w:themeColor="text1"/>
                <w:sz w:val="20"/>
                <w:szCs w:val="20"/>
              </w:rPr>
              <w:t>0.653225</w:t>
            </w:r>
          </w:p>
        </w:tc>
        <w:tc>
          <w:tcPr>
            <w:tcW w:w="2126" w:type="dxa"/>
            <w:vAlign w:val="center"/>
          </w:tcPr>
          <w:p w14:paraId="3C9C1A84" w14:textId="3919AFF6" w:rsidR="004C1F4A" w:rsidRPr="00A0110F" w:rsidRDefault="004D038F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D038F">
              <w:rPr>
                <w:rFonts w:ascii="Arial" w:hAnsi="Arial" w:cs="Arial"/>
                <w:color w:val="000000" w:themeColor="text1"/>
                <w:sz w:val="20"/>
                <w:szCs w:val="20"/>
              </w:rPr>
              <w:t>0.726761</w:t>
            </w:r>
          </w:p>
        </w:tc>
        <w:tc>
          <w:tcPr>
            <w:tcW w:w="2263" w:type="dxa"/>
            <w:vAlign w:val="center"/>
          </w:tcPr>
          <w:p w14:paraId="0996C3E8" w14:textId="7E2E6176" w:rsidR="004C1F4A" w:rsidRPr="00A0110F" w:rsidRDefault="00981E4C" w:rsidP="00A0110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81E4C">
              <w:rPr>
                <w:rFonts w:ascii="Arial" w:hAnsi="Arial" w:cs="Arial"/>
                <w:color w:val="000000" w:themeColor="text1"/>
                <w:sz w:val="20"/>
                <w:szCs w:val="20"/>
              </w:rPr>
              <w:t>0.652049</w:t>
            </w:r>
          </w:p>
        </w:tc>
      </w:tr>
    </w:tbl>
    <w:p w14:paraId="37711CC8" w14:textId="77777777" w:rsidR="00A0110F" w:rsidRPr="00190446" w:rsidRDefault="00A0110F" w:rsidP="00190446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08A8E5FC" w14:textId="7AA55626" w:rsidR="004039C4" w:rsidRDefault="004039C4" w:rsidP="004039C4">
      <w:pPr>
        <w:jc w:val="both"/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</w:pPr>
      <w:r w:rsidRPr="00644E5D"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  <w:t>Wnioski</w:t>
      </w:r>
    </w:p>
    <w:p w14:paraId="33E6F4F4" w14:textId="5767BC63" w:rsidR="00635C3B" w:rsidRDefault="00635C3B" w:rsidP="00635C3B">
      <w:pPr>
        <w:pStyle w:val="Akapitzlist"/>
        <w:numPr>
          <w:ilvl w:val="0"/>
          <w:numId w:val="5"/>
        </w:num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Współczynniki oraz węzły kwadratury Gaussa-Hermite’a są niezależne od postaci funkcji podcałkowej.</w:t>
      </w:r>
    </w:p>
    <w:p w14:paraId="41B30C4A" w14:textId="35B4A342" w:rsidR="00635C3B" w:rsidRDefault="00635C3B" w:rsidP="00635C3B">
      <w:pPr>
        <w:pStyle w:val="Akapitzlist"/>
        <w:numPr>
          <w:ilvl w:val="0"/>
          <w:numId w:val="5"/>
        </w:num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Im więcej węzłów wykorzysta się w kwadraturze Gaussa-Hermite’a, tym wynik jest dokładniejszy</w:t>
      </w:r>
    </w:p>
    <w:p w14:paraId="6DE7EB26" w14:textId="66E38931" w:rsidR="009C5438" w:rsidRPr="00635C3B" w:rsidRDefault="009C5438" w:rsidP="00635C3B">
      <w:pPr>
        <w:pStyle w:val="Akapitzlist"/>
        <w:numPr>
          <w:ilvl w:val="0"/>
          <w:numId w:val="5"/>
        </w:numPr>
        <w:jc w:val="both"/>
        <w:rPr>
          <w:rFonts w:ascii="Arial" w:eastAsia="Courier10 BT" w:hAnsi="Arial" w:cs="Arial"/>
          <w:color w:val="000000" w:themeColor="text1"/>
          <w:sz w:val="20"/>
          <w:szCs w:val="20"/>
        </w:rPr>
      </w:pPr>
      <w:r>
        <w:rPr>
          <w:rFonts w:ascii="Arial" w:eastAsia="Courier10 BT" w:hAnsi="Arial" w:cs="Arial"/>
          <w:color w:val="000000" w:themeColor="text1"/>
          <w:sz w:val="20"/>
          <w:szCs w:val="20"/>
        </w:rPr>
        <w:t>Obie metody zwracają podobne wartości, które nieznacznie różnią się od teoretycznych(obliczonych za pomocą WolframAlpha)</w:t>
      </w:r>
    </w:p>
    <w:p w14:paraId="3DE2D864" w14:textId="242CCB86" w:rsidR="00C42C27" w:rsidRPr="004039C4" w:rsidRDefault="00C42C27" w:rsidP="0088735B">
      <w:pPr>
        <w:pStyle w:val="Akapitzlist"/>
      </w:pPr>
    </w:p>
    <w:sectPr w:rsidR="00C42C27" w:rsidRPr="004039C4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HGPMinchoE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10 BT">
    <w:charset w:val="8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86CA0"/>
    <w:multiLevelType w:val="hybridMultilevel"/>
    <w:tmpl w:val="127694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558F9"/>
    <w:multiLevelType w:val="hybridMultilevel"/>
    <w:tmpl w:val="2BCC97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6230F"/>
    <w:multiLevelType w:val="hybridMultilevel"/>
    <w:tmpl w:val="7A84B6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D0EF4"/>
    <w:multiLevelType w:val="hybridMultilevel"/>
    <w:tmpl w:val="F202C2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B4809"/>
    <w:multiLevelType w:val="hybridMultilevel"/>
    <w:tmpl w:val="97C880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495936">
    <w:abstractNumId w:val="1"/>
  </w:num>
  <w:num w:numId="2" w16cid:durableId="627706947">
    <w:abstractNumId w:val="2"/>
  </w:num>
  <w:num w:numId="3" w16cid:durableId="1970738763">
    <w:abstractNumId w:val="3"/>
  </w:num>
  <w:num w:numId="4" w16cid:durableId="1881866873">
    <w:abstractNumId w:val="0"/>
  </w:num>
  <w:num w:numId="5" w16cid:durableId="1888108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55"/>
    <w:rsid w:val="000A2ECD"/>
    <w:rsid w:val="000C4D1F"/>
    <w:rsid w:val="000F005C"/>
    <w:rsid w:val="001422DC"/>
    <w:rsid w:val="00190446"/>
    <w:rsid w:val="002D3855"/>
    <w:rsid w:val="00300AED"/>
    <w:rsid w:val="004039C4"/>
    <w:rsid w:val="004C1F4A"/>
    <w:rsid w:val="004D038F"/>
    <w:rsid w:val="005F5472"/>
    <w:rsid w:val="006270E2"/>
    <w:rsid w:val="00634C54"/>
    <w:rsid w:val="00635C3B"/>
    <w:rsid w:val="00657881"/>
    <w:rsid w:val="006C1636"/>
    <w:rsid w:val="006D1625"/>
    <w:rsid w:val="0072375E"/>
    <w:rsid w:val="00794710"/>
    <w:rsid w:val="008150D1"/>
    <w:rsid w:val="0088735B"/>
    <w:rsid w:val="00940B2F"/>
    <w:rsid w:val="009608FD"/>
    <w:rsid w:val="00961F91"/>
    <w:rsid w:val="00981E4C"/>
    <w:rsid w:val="009C5438"/>
    <w:rsid w:val="009C59A4"/>
    <w:rsid w:val="00A0110F"/>
    <w:rsid w:val="00A10B3E"/>
    <w:rsid w:val="00AF748D"/>
    <w:rsid w:val="00B16F32"/>
    <w:rsid w:val="00B35896"/>
    <w:rsid w:val="00B539CE"/>
    <w:rsid w:val="00BF4612"/>
    <w:rsid w:val="00C42C27"/>
    <w:rsid w:val="00C75961"/>
    <w:rsid w:val="00E84A3F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B60D"/>
  <w15:chartTrackingRefBased/>
  <w15:docId w15:val="{00FA1815-EE66-4DEA-B8F5-7A4EE1D9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039C4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39C4"/>
    <w:pPr>
      <w:ind w:left="720"/>
      <w:contextualSpacing/>
    </w:pPr>
  </w:style>
  <w:style w:type="table" w:styleId="Tabela-Siatka">
    <w:name w:val="Table Grid"/>
    <w:basedOn w:val="Standardowy"/>
    <w:uiPriority w:val="39"/>
    <w:rsid w:val="0040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0F00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240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 Sady</dc:creator>
  <cp:keywords/>
  <dc:description/>
  <cp:lastModifiedBy>Kazu Sady</cp:lastModifiedBy>
  <cp:revision>22</cp:revision>
  <dcterms:created xsi:type="dcterms:W3CDTF">2023-04-19T10:27:00Z</dcterms:created>
  <dcterms:modified xsi:type="dcterms:W3CDTF">2023-04-28T11:59:00Z</dcterms:modified>
</cp:coreProperties>
</file>