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7FBB" w14:textId="77777777" w:rsidR="00DB1583" w:rsidRPr="00FC26C8" w:rsidRDefault="00DB1583" w:rsidP="00DB1583">
      <w:pPr>
        <w:spacing w:line="360" w:lineRule="auto"/>
        <w:ind w:left="-360" w:right="-144" w:firstLine="540"/>
        <w:jc w:val="center"/>
        <w:rPr>
          <w:b/>
          <w:sz w:val="28"/>
          <w:szCs w:val="28"/>
          <w:lang w:val="uk-UA"/>
        </w:rPr>
      </w:pPr>
      <w:r w:rsidRPr="00FC26C8">
        <w:rPr>
          <w:b/>
          <w:sz w:val="28"/>
          <w:szCs w:val="28"/>
          <w:lang w:val="uk-UA"/>
        </w:rPr>
        <w:t>Практична робота №1</w:t>
      </w:r>
    </w:p>
    <w:p w14:paraId="31D30DF0" w14:textId="77777777" w:rsidR="00DB1583" w:rsidRDefault="00DB1583" w:rsidP="00DB1583">
      <w:pPr>
        <w:ind w:left="567" w:right="567" w:firstLine="284"/>
        <w:jc w:val="both"/>
        <w:rPr>
          <w:sz w:val="28"/>
          <w:szCs w:val="28"/>
          <w:lang w:val="uk-UA"/>
        </w:rPr>
      </w:pPr>
      <w:r w:rsidRPr="00BC6648">
        <w:rPr>
          <w:b/>
          <w:sz w:val="28"/>
          <w:szCs w:val="28"/>
          <w:lang w:val="uk-UA"/>
        </w:rPr>
        <w:t>1 Тема роботи.</w:t>
      </w:r>
      <w:r>
        <w:rPr>
          <w:sz w:val="28"/>
          <w:szCs w:val="28"/>
          <w:lang w:val="uk-UA"/>
        </w:rPr>
        <w:t xml:space="preserve"> </w:t>
      </w:r>
      <w:r w:rsidRPr="0006105E">
        <w:rPr>
          <w:sz w:val="28"/>
          <w:szCs w:val="28"/>
          <w:lang w:val="uk-UA"/>
        </w:rPr>
        <w:t>Методи аналізу виробничого</w:t>
      </w:r>
      <w:r>
        <w:rPr>
          <w:sz w:val="28"/>
          <w:szCs w:val="28"/>
          <w:lang w:val="uk-UA"/>
        </w:rPr>
        <w:t xml:space="preserve"> </w:t>
      </w:r>
      <w:r w:rsidRPr="0006105E">
        <w:rPr>
          <w:sz w:val="28"/>
          <w:szCs w:val="28"/>
          <w:lang w:val="uk-UA"/>
        </w:rPr>
        <w:t>травматизму</w:t>
      </w:r>
      <w:r>
        <w:rPr>
          <w:sz w:val="28"/>
          <w:szCs w:val="28"/>
          <w:lang w:val="uk-UA"/>
        </w:rPr>
        <w:t>.</w:t>
      </w:r>
    </w:p>
    <w:p w14:paraId="08CA8456" w14:textId="77777777" w:rsidR="00DB1583" w:rsidRDefault="00DB1583" w:rsidP="00DB1583">
      <w:pPr>
        <w:ind w:left="567" w:right="567" w:firstLine="284"/>
        <w:jc w:val="both"/>
        <w:rPr>
          <w:sz w:val="28"/>
          <w:szCs w:val="28"/>
          <w:lang w:val="uk-UA"/>
        </w:rPr>
      </w:pPr>
      <w:r w:rsidRPr="00BC6648">
        <w:rPr>
          <w:b/>
          <w:sz w:val="28"/>
          <w:szCs w:val="28"/>
          <w:lang w:val="uk-UA"/>
        </w:rPr>
        <w:t>2</w:t>
      </w:r>
      <w:r w:rsidRPr="00BC6648">
        <w:rPr>
          <w:b/>
          <w:sz w:val="28"/>
          <w:szCs w:val="28"/>
        </w:rPr>
        <w:t xml:space="preserve"> Мета </w:t>
      </w:r>
      <w:proofErr w:type="spellStart"/>
      <w:r w:rsidRPr="00BC6648">
        <w:rPr>
          <w:b/>
          <w:sz w:val="28"/>
          <w:szCs w:val="28"/>
        </w:rPr>
        <w:t>роботи</w:t>
      </w:r>
      <w:proofErr w:type="spellEnd"/>
      <w:r w:rsidRPr="00BC6648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B86FDF">
        <w:rPr>
          <w:sz w:val="28"/>
          <w:szCs w:val="28"/>
        </w:rPr>
        <w:t>Ознайомитися</w:t>
      </w:r>
      <w:proofErr w:type="spellEnd"/>
      <w:r>
        <w:rPr>
          <w:sz w:val="28"/>
          <w:szCs w:val="28"/>
        </w:rPr>
        <w:t xml:space="preserve"> </w:t>
      </w:r>
      <w:r w:rsidRPr="00B86FDF"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 w:rsidRPr="00B86FDF">
        <w:rPr>
          <w:sz w:val="28"/>
          <w:szCs w:val="28"/>
        </w:rPr>
        <w:t>методами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аналізу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сформувати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прак-тичні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B86FDF">
        <w:rPr>
          <w:sz w:val="28"/>
          <w:szCs w:val="28"/>
        </w:rPr>
        <w:t>навички</w:t>
      </w:r>
      <w:proofErr w:type="spellEnd"/>
      <w:r>
        <w:rPr>
          <w:sz w:val="28"/>
          <w:szCs w:val="28"/>
          <w:lang w:val="uk-UA"/>
        </w:rPr>
        <w:t xml:space="preserve"> </w:t>
      </w:r>
      <w:r w:rsidRPr="00B86FDF">
        <w:rPr>
          <w:sz w:val="28"/>
          <w:szCs w:val="28"/>
          <w:lang w:val="uk-UA"/>
        </w:rPr>
        <w:t>статистичного,</w:t>
      </w:r>
      <w:r>
        <w:rPr>
          <w:sz w:val="28"/>
          <w:szCs w:val="28"/>
          <w:lang w:val="uk-UA"/>
        </w:rPr>
        <w:t xml:space="preserve"> </w:t>
      </w:r>
      <w:r w:rsidRPr="00B86FDF">
        <w:rPr>
          <w:sz w:val="28"/>
          <w:szCs w:val="28"/>
          <w:lang w:val="uk-UA"/>
        </w:rPr>
        <w:t>економічного</w:t>
      </w:r>
      <w:r>
        <w:rPr>
          <w:sz w:val="28"/>
          <w:szCs w:val="28"/>
          <w:lang w:val="uk-UA"/>
        </w:rPr>
        <w:t xml:space="preserve"> </w:t>
      </w:r>
      <w:r w:rsidRPr="00B86FDF">
        <w:rPr>
          <w:sz w:val="28"/>
          <w:szCs w:val="28"/>
          <w:lang w:val="uk-UA"/>
        </w:rPr>
        <w:t>методів</w:t>
      </w:r>
      <w:r>
        <w:rPr>
          <w:sz w:val="28"/>
          <w:szCs w:val="28"/>
          <w:lang w:val="uk-UA"/>
        </w:rPr>
        <w:t xml:space="preserve"> </w:t>
      </w:r>
      <w:r w:rsidRPr="00B86FDF">
        <w:rPr>
          <w:sz w:val="28"/>
          <w:szCs w:val="28"/>
          <w:lang w:val="uk-UA"/>
        </w:rPr>
        <w:t>аналізу</w:t>
      </w:r>
      <w:r>
        <w:rPr>
          <w:sz w:val="28"/>
          <w:szCs w:val="28"/>
          <w:lang w:val="uk-UA"/>
        </w:rPr>
        <w:t xml:space="preserve"> </w:t>
      </w:r>
      <w:r w:rsidRPr="00B86FDF">
        <w:rPr>
          <w:sz w:val="28"/>
          <w:szCs w:val="28"/>
          <w:lang w:val="uk-UA"/>
        </w:rPr>
        <w:t>травматизму.</w:t>
      </w:r>
    </w:p>
    <w:p w14:paraId="5C438A0B" w14:textId="3ED136D3" w:rsidR="00DB1583" w:rsidRDefault="00DB1583" w:rsidP="00DB1583">
      <w:pPr>
        <w:ind w:left="567" w:right="567" w:firstLine="284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 Виконав.</w:t>
      </w:r>
      <w:r>
        <w:rPr>
          <w:sz w:val="28"/>
          <w:szCs w:val="28"/>
          <w:lang w:val="uk-UA"/>
        </w:rPr>
        <w:t xml:space="preserve"> </w:t>
      </w:r>
      <w:r w:rsidR="00D87EB9">
        <w:rPr>
          <w:sz w:val="28"/>
          <w:szCs w:val="28"/>
          <w:lang w:val="uk-UA"/>
        </w:rPr>
        <w:t>Кумпан М</w:t>
      </w:r>
      <w:r>
        <w:rPr>
          <w:sz w:val="28"/>
          <w:szCs w:val="28"/>
          <w:lang w:val="uk-UA"/>
        </w:rPr>
        <w:t>. 44 група</w:t>
      </w:r>
    </w:p>
    <w:p w14:paraId="2613A7AE" w14:textId="77777777" w:rsidR="00DB1583" w:rsidRDefault="00DB1583" w:rsidP="00DB1583">
      <w:pPr>
        <w:ind w:left="567" w:right="567" w:firstLine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5B149653" w14:textId="77777777" w:rsidR="00DB1583" w:rsidRDefault="00DB1583" w:rsidP="008639DB">
      <w:pPr>
        <w:ind w:right="567" w:firstLine="28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</w:t>
      </w:r>
      <w:r w:rsidRPr="00DB1583">
        <w:rPr>
          <w:sz w:val="28"/>
          <w:szCs w:val="28"/>
          <w:lang w:val="uk-UA"/>
        </w:rPr>
        <w:t xml:space="preserve">Відповіді на </w:t>
      </w:r>
      <w:proofErr w:type="spellStart"/>
      <w:r w:rsidRPr="00DB1583">
        <w:rPr>
          <w:sz w:val="28"/>
          <w:szCs w:val="28"/>
          <w:lang w:val="uk-UA"/>
        </w:rPr>
        <w:t>теоритичні</w:t>
      </w:r>
      <w:proofErr w:type="spellEnd"/>
      <w:r w:rsidRPr="00DB1583">
        <w:rPr>
          <w:sz w:val="28"/>
          <w:szCs w:val="28"/>
          <w:lang w:val="uk-UA"/>
        </w:rPr>
        <w:t xml:space="preserve"> питання</w:t>
      </w:r>
    </w:p>
    <w:p w14:paraId="3FD7DF5F" w14:textId="77777777" w:rsidR="00DB1583" w:rsidRPr="00232297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</w:pPr>
      <w:proofErr w:type="spellStart"/>
      <w:r w:rsidRPr="00232297"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  <w:t>Завдання</w:t>
      </w:r>
      <w:proofErr w:type="spellEnd"/>
      <w:r w:rsidRPr="00232297"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  <w:t xml:space="preserve"> № 1</w:t>
      </w:r>
    </w:p>
    <w:p w14:paraId="57A10498" w14:textId="77777777" w:rsidR="00DB1583" w:rsidRPr="00DF141C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</w:pP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Назвіть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імовірнісно-статистичні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методи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аналізу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травматизму</w:t>
      </w:r>
    </w:p>
    <w:p w14:paraId="573A2730" w14:textId="77777777" w:rsidR="00DB1583" w:rsidRPr="00DB1583" w:rsidRDefault="00DB1583" w:rsidP="00DB1583">
      <w:pPr>
        <w:pStyle w:val="61"/>
        <w:numPr>
          <w:ilvl w:val="0"/>
          <w:numId w:val="1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статистичний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;</w:t>
      </w:r>
    </w:p>
    <w:p w14:paraId="6CFE52D2" w14:textId="77777777" w:rsidR="00DB1583" w:rsidRPr="00DB1583" w:rsidRDefault="00DB1583" w:rsidP="00DB1583">
      <w:pPr>
        <w:pStyle w:val="61"/>
        <w:numPr>
          <w:ilvl w:val="0"/>
          <w:numId w:val="1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груповий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;</w:t>
      </w:r>
    </w:p>
    <w:p w14:paraId="73BC4230" w14:textId="77777777" w:rsidR="00DB1583" w:rsidRPr="00DB1583" w:rsidRDefault="00DB1583" w:rsidP="00DB1583">
      <w:pPr>
        <w:pStyle w:val="61"/>
        <w:numPr>
          <w:ilvl w:val="0"/>
          <w:numId w:val="1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топографічний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;</w:t>
      </w:r>
    </w:p>
    <w:p w14:paraId="18442E0A" w14:textId="77777777" w:rsidR="00DB1583" w:rsidRPr="00DB1583" w:rsidRDefault="00DB1583" w:rsidP="00DB1583">
      <w:pPr>
        <w:pStyle w:val="61"/>
        <w:numPr>
          <w:ilvl w:val="0"/>
          <w:numId w:val="1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монографічний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;</w:t>
      </w:r>
    </w:p>
    <w:p w14:paraId="0AA70031" w14:textId="77777777" w:rsidR="00DB1583" w:rsidRPr="00DB1583" w:rsidRDefault="00DB1583" w:rsidP="00DB1583">
      <w:pPr>
        <w:pStyle w:val="61"/>
        <w:numPr>
          <w:ilvl w:val="0"/>
          <w:numId w:val="1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економічний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;</w:t>
      </w:r>
    </w:p>
    <w:p w14:paraId="5B722799" w14:textId="77777777" w:rsidR="00DB1583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</w:pPr>
    </w:p>
    <w:p w14:paraId="45660035" w14:textId="77777777" w:rsidR="00DB1583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</w:pPr>
      <w:proofErr w:type="spellStart"/>
      <w:r w:rsidRPr="00232297"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  <w:t>Завдання</w:t>
      </w:r>
      <w:proofErr w:type="spellEnd"/>
      <w:r w:rsidRPr="00232297"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  <w:t xml:space="preserve"> № 2</w:t>
      </w:r>
    </w:p>
    <w:p w14:paraId="7522D31B" w14:textId="77777777" w:rsidR="00DB1583" w:rsidRPr="00DF141C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</w:pP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Назвіть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детерміністичні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методи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аналізу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травматизму</w:t>
      </w:r>
    </w:p>
    <w:p w14:paraId="7D01857B" w14:textId="77777777" w:rsidR="00DB1583" w:rsidRPr="00DB1583" w:rsidRDefault="00DB1583" w:rsidP="00DB1583">
      <w:pPr>
        <w:pStyle w:val="61"/>
        <w:numPr>
          <w:ilvl w:val="0"/>
          <w:numId w:val="2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експертних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 xml:space="preserve"> </w:t>
      </w: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оцінок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;</w:t>
      </w:r>
    </w:p>
    <w:p w14:paraId="3E6AC80E" w14:textId="77777777" w:rsidR="00DB1583" w:rsidRPr="00DB1583" w:rsidRDefault="00DB1583" w:rsidP="00DB1583">
      <w:pPr>
        <w:pStyle w:val="61"/>
        <w:numPr>
          <w:ilvl w:val="0"/>
          <w:numId w:val="2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анкетування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.</w:t>
      </w:r>
    </w:p>
    <w:p w14:paraId="21898B0B" w14:textId="77777777" w:rsidR="00DB1583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</w:pPr>
    </w:p>
    <w:p w14:paraId="34A7E330" w14:textId="77777777" w:rsidR="00DB1583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</w:pPr>
      <w:proofErr w:type="spellStart"/>
      <w:r w:rsidRPr="00232297"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  <w:t>Завдання</w:t>
      </w:r>
      <w:proofErr w:type="spellEnd"/>
      <w:r w:rsidRPr="00232297">
        <w:rPr>
          <w:rFonts w:ascii="Times New Roman" w:eastAsia="Times New Roman" w:hAnsi="Times New Roman"/>
          <w:bCs w:val="0"/>
          <w:sz w:val="28"/>
          <w:szCs w:val="28"/>
          <w:lang w:val="ru-RU" w:eastAsia="ru-RU"/>
        </w:rPr>
        <w:t xml:space="preserve"> № 3</w:t>
      </w:r>
    </w:p>
    <w:p w14:paraId="27C37923" w14:textId="77777777" w:rsidR="00DB1583" w:rsidRPr="00DF141C" w:rsidRDefault="00DB1583" w:rsidP="00DB1583">
      <w:pPr>
        <w:pStyle w:val="61"/>
        <w:ind w:left="567" w:right="567" w:firstLine="284"/>
        <w:jc w:val="both"/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</w:pP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Вкажіть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,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які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показники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травматизму і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захворюванності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визначаються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при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статистичному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методі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</w:t>
      </w:r>
      <w:proofErr w:type="spellStart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>аналізу</w:t>
      </w:r>
      <w:proofErr w:type="spellEnd"/>
      <w:r w:rsidRPr="00DF141C">
        <w:rPr>
          <w:rFonts w:ascii="Times New Roman" w:eastAsia="Times New Roman" w:hAnsi="Times New Roman"/>
          <w:b w:val="0"/>
          <w:bCs w:val="0"/>
          <w:sz w:val="28"/>
          <w:szCs w:val="28"/>
          <w:lang w:val="ru-RU" w:eastAsia="ru-RU"/>
        </w:rPr>
        <w:t xml:space="preserve"> травматизму?</w:t>
      </w:r>
    </w:p>
    <w:p w14:paraId="110AFF3F" w14:textId="77777777" w:rsidR="00DB1583" w:rsidRPr="00DB1583" w:rsidRDefault="00DB1583" w:rsidP="00DB1583">
      <w:pPr>
        <w:pStyle w:val="61"/>
        <w:numPr>
          <w:ilvl w:val="0"/>
          <w:numId w:val="3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коефіцієнт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 xml:space="preserve"> </w:t>
      </w: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частоти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 xml:space="preserve"> травматизму;</w:t>
      </w:r>
    </w:p>
    <w:p w14:paraId="6DEECAF5" w14:textId="77777777" w:rsidR="00DB1583" w:rsidRPr="00DB1583" w:rsidRDefault="00DB1583" w:rsidP="00DB1583">
      <w:pPr>
        <w:pStyle w:val="61"/>
        <w:numPr>
          <w:ilvl w:val="0"/>
          <w:numId w:val="3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коефіцієнт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 xml:space="preserve"> </w:t>
      </w: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тяжкості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 xml:space="preserve"> травматизму;</w:t>
      </w:r>
    </w:p>
    <w:p w14:paraId="5F5391FC" w14:textId="77777777" w:rsidR="00DB1583" w:rsidRPr="00DB1583" w:rsidRDefault="00DB1583" w:rsidP="00DB1583">
      <w:pPr>
        <w:pStyle w:val="61"/>
        <w:numPr>
          <w:ilvl w:val="0"/>
          <w:numId w:val="3"/>
        </w:numPr>
        <w:ind w:right="567"/>
        <w:jc w:val="both"/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</w:pP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показник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 xml:space="preserve"> </w:t>
      </w:r>
      <w:proofErr w:type="spellStart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непрацездатності</w:t>
      </w:r>
      <w:proofErr w:type="spellEnd"/>
      <w:r w:rsidRPr="00DB1583">
        <w:rPr>
          <w:rFonts w:ascii="Times New Roman" w:eastAsia="Times New Roman" w:hAnsi="Times New Roman"/>
          <w:bCs w:val="0"/>
          <w:i/>
          <w:color w:val="70AD47" w:themeColor="accent6"/>
          <w:sz w:val="28"/>
          <w:szCs w:val="28"/>
          <w:lang w:val="ru-RU" w:eastAsia="ru-RU"/>
        </w:rPr>
        <w:t>;</w:t>
      </w:r>
    </w:p>
    <w:p w14:paraId="241467E9" w14:textId="77777777" w:rsidR="00DB1583" w:rsidRPr="00DB1583" w:rsidRDefault="00DB1583" w:rsidP="00DB1583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DB1583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показник матеріальних наслідків;</w:t>
      </w:r>
    </w:p>
    <w:p w14:paraId="3DE316AF" w14:textId="77777777" w:rsidR="00DB1583" w:rsidRPr="00DB1583" w:rsidRDefault="00DB1583" w:rsidP="00DB1583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DB1583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показник частоти випадків захворювань;</w:t>
      </w:r>
    </w:p>
    <w:p w14:paraId="4BEA0486" w14:textId="77777777" w:rsidR="00DB1583" w:rsidRPr="00DB1583" w:rsidRDefault="00DB1583" w:rsidP="00DB1583">
      <w:pPr>
        <w:pStyle w:val="a4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DB1583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показник тяжкості захворювань.</w:t>
      </w:r>
    </w:p>
    <w:p w14:paraId="6BBC776C" w14:textId="77777777" w:rsidR="00DB1583" w:rsidRDefault="00DB1583" w:rsidP="00DB1583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</w:p>
    <w:p w14:paraId="383E55E8" w14:textId="77777777" w:rsidR="00DB1583" w:rsidRDefault="00DB1583" w:rsidP="00DB1583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</w:p>
    <w:p w14:paraId="4A727FDF" w14:textId="77777777" w:rsidR="00DB1583" w:rsidRDefault="00DB1583" w:rsidP="00DB1583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</w:p>
    <w:p w14:paraId="25A058A4" w14:textId="77777777" w:rsidR="00DB1583" w:rsidRDefault="00DB1583" w:rsidP="00DB1583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</w:p>
    <w:p w14:paraId="13756220" w14:textId="77777777" w:rsidR="00DB1583" w:rsidRPr="00A42287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sz w:val="16"/>
          <w:szCs w:val="16"/>
          <w:lang w:val="uk-UA"/>
        </w:rPr>
      </w:pPr>
    </w:p>
    <w:p w14:paraId="1942113C" w14:textId="77777777" w:rsidR="00DB1583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sz w:val="28"/>
          <w:szCs w:val="28"/>
          <w:lang w:val="uk-UA"/>
        </w:rPr>
      </w:pPr>
      <w:r w:rsidRPr="00232297">
        <w:rPr>
          <w:rFonts w:eastAsia="TimesNewRomanPSMT"/>
          <w:b/>
          <w:sz w:val="28"/>
          <w:szCs w:val="28"/>
          <w:lang w:val="uk-UA"/>
        </w:rPr>
        <w:t>Завдання №</w:t>
      </w:r>
      <w:r>
        <w:rPr>
          <w:rFonts w:eastAsia="TimesNewRomanPSMT"/>
          <w:b/>
          <w:sz w:val="28"/>
          <w:szCs w:val="28"/>
          <w:lang w:val="uk-UA"/>
        </w:rPr>
        <w:t>4</w:t>
      </w:r>
    </w:p>
    <w:p w14:paraId="169BF9B3" w14:textId="77777777" w:rsidR="00DB1583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sz w:val="28"/>
          <w:szCs w:val="28"/>
          <w:lang w:val="uk-UA"/>
        </w:rPr>
      </w:pPr>
      <w:r w:rsidRPr="00BB14C8">
        <w:rPr>
          <w:rFonts w:eastAsia="TimesNewRomanPSMT"/>
          <w:sz w:val="28"/>
          <w:szCs w:val="28"/>
          <w:lang w:val="uk-UA"/>
        </w:rPr>
        <w:t>При груповому методі травми групуються за окремими однорідними ознаками: часу травмування, кваліфікації, спеціальності і віку потерпілого, видам робіт, причинам нещасних випадків та інші</w:t>
      </w:r>
      <w:r>
        <w:rPr>
          <w:rFonts w:eastAsia="TimesNewRomanPSMT"/>
          <w:sz w:val="28"/>
          <w:szCs w:val="28"/>
          <w:lang w:val="uk-UA"/>
        </w:rPr>
        <w:t>.</w:t>
      </w:r>
    </w:p>
    <w:p w14:paraId="78C705C4" w14:textId="77777777" w:rsidR="00DB1583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sz w:val="28"/>
          <w:szCs w:val="28"/>
          <w:lang w:val="uk-UA"/>
        </w:rPr>
      </w:pPr>
    </w:p>
    <w:p w14:paraId="063523D2" w14:textId="77777777" w:rsidR="00DB1583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sz w:val="28"/>
          <w:szCs w:val="28"/>
          <w:lang w:val="uk-UA"/>
        </w:rPr>
      </w:pPr>
      <w:r w:rsidRPr="00232297">
        <w:rPr>
          <w:rFonts w:eastAsia="TimesNewRomanPSMT"/>
          <w:b/>
          <w:sz w:val="28"/>
          <w:szCs w:val="28"/>
          <w:lang w:val="uk-UA"/>
        </w:rPr>
        <w:t xml:space="preserve">Завдання № </w:t>
      </w:r>
      <w:r>
        <w:rPr>
          <w:rFonts w:eastAsia="TimesNewRomanPSMT"/>
          <w:b/>
          <w:sz w:val="28"/>
          <w:szCs w:val="28"/>
          <w:lang w:val="uk-UA"/>
        </w:rPr>
        <w:t>5</w:t>
      </w:r>
    </w:p>
    <w:p w14:paraId="3FABED41" w14:textId="77777777" w:rsidR="00DB1583" w:rsidRPr="00B86FDF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sz w:val="28"/>
          <w:szCs w:val="28"/>
        </w:rPr>
      </w:pPr>
      <w:r w:rsidRPr="00B86FDF">
        <w:rPr>
          <w:rFonts w:eastAsia="TimesNewRomanPSMT"/>
          <w:sz w:val="28"/>
          <w:szCs w:val="28"/>
        </w:rPr>
        <w:t>На</w:t>
      </w:r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чому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ґрунтується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топографічний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r w:rsidRPr="00B86FDF">
        <w:rPr>
          <w:rFonts w:eastAsia="TimesNewRomanPSMT"/>
          <w:sz w:val="28"/>
          <w:szCs w:val="28"/>
        </w:rPr>
        <w:t>метод</w:t>
      </w:r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аналізу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r w:rsidRPr="00B86FDF">
        <w:rPr>
          <w:rFonts w:eastAsia="TimesNewRomanPSMT"/>
          <w:sz w:val="28"/>
          <w:szCs w:val="28"/>
        </w:rPr>
        <w:t>травматизму?</w:t>
      </w:r>
    </w:p>
    <w:p w14:paraId="41B9B8C5" w14:textId="77777777" w:rsidR="00DB1583" w:rsidRPr="00DB1583" w:rsidRDefault="00DB1583" w:rsidP="00DB1583">
      <w:pPr>
        <w:pStyle w:val="a4"/>
        <w:numPr>
          <w:ilvl w:val="0"/>
          <w:numId w:val="4"/>
        </w:num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DB1583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lastRenderedPageBreak/>
        <w:t>на плані цеху(підприємства) відмічають місця, де сталися нещасні випадки;</w:t>
      </w:r>
    </w:p>
    <w:p w14:paraId="709C9475" w14:textId="5FE18FFE" w:rsidR="00DB1583" w:rsidRPr="00D87EB9" w:rsidRDefault="00DB1583" w:rsidP="00D87EB9">
      <w:pPr>
        <w:pStyle w:val="a4"/>
        <w:numPr>
          <w:ilvl w:val="0"/>
          <w:numId w:val="4"/>
        </w:num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д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озволяє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наочно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бачити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місця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з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підвищеною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небезпекою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,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які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вимагають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ретельного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обстеження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та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проведення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профілактичних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</w:t>
      </w:r>
      <w:proofErr w:type="spellStart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>заходів</w:t>
      </w:r>
      <w:proofErr w:type="spellEnd"/>
      <w:r w:rsidRPr="008639DB">
        <w:rPr>
          <w:rFonts w:eastAsia="TimesNewRomanPSMT"/>
          <w:b/>
          <w:i/>
          <w:color w:val="70AD47" w:themeColor="accent6"/>
          <w:sz w:val="28"/>
          <w:szCs w:val="28"/>
        </w:rPr>
        <w:t xml:space="preserve"> ;</w:t>
      </w:r>
    </w:p>
    <w:p w14:paraId="41F8412B" w14:textId="77777777" w:rsidR="00DB1583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sz w:val="28"/>
          <w:szCs w:val="28"/>
          <w:lang w:val="uk-UA"/>
        </w:rPr>
      </w:pPr>
      <w:r w:rsidRPr="00232297">
        <w:rPr>
          <w:rFonts w:eastAsia="TimesNewRomanPSMT"/>
          <w:b/>
          <w:sz w:val="28"/>
          <w:szCs w:val="28"/>
          <w:lang w:val="uk-UA"/>
        </w:rPr>
        <w:t xml:space="preserve">Завдання № </w:t>
      </w:r>
      <w:r>
        <w:rPr>
          <w:rFonts w:eastAsia="TimesNewRomanPSMT"/>
          <w:b/>
          <w:sz w:val="28"/>
          <w:szCs w:val="28"/>
          <w:lang w:val="uk-UA"/>
        </w:rPr>
        <w:t>6</w:t>
      </w:r>
    </w:p>
    <w:p w14:paraId="6BE8E16A" w14:textId="77777777" w:rsidR="00DB1583" w:rsidRPr="00B86FDF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sz w:val="28"/>
          <w:szCs w:val="28"/>
        </w:rPr>
      </w:pPr>
      <w:r w:rsidRPr="00B86FDF">
        <w:rPr>
          <w:rFonts w:eastAsia="TimesNewRomanPSMT"/>
          <w:sz w:val="28"/>
          <w:szCs w:val="28"/>
        </w:rPr>
        <w:t>В</w:t>
      </w:r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чому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r w:rsidRPr="00B86FDF">
        <w:rPr>
          <w:rFonts w:eastAsia="TimesNewRomanPSMT"/>
          <w:sz w:val="28"/>
          <w:szCs w:val="28"/>
        </w:rPr>
        <w:t>суть</w:t>
      </w:r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монографічного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r w:rsidRPr="00B86FDF">
        <w:rPr>
          <w:rFonts w:eastAsia="TimesNewRomanPSMT"/>
          <w:sz w:val="28"/>
          <w:szCs w:val="28"/>
        </w:rPr>
        <w:t>методу</w:t>
      </w:r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аналізу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r w:rsidRPr="00B86FDF">
        <w:rPr>
          <w:rFonts w:eastAsia="TimesNewRomanPSMT"/>
          <w:sz w:val="28"/>
          <w:szCs w:val="28"/>
        </w:rPr>
        <w:t>травматизму?</w:t>
      </w:r>
    </w:p>
    <w:p w14:paraId="0E210D41" w14:textId="11F83D3E" w:rsidR="00DB1583" w:rsidRPr="00D87EB9" w:rsidRDefault="00DB1583" w:rsidP="00D87EB9">
      <w:pPr>
        <w:pStyle w:val="a4"/>
        <w:numPr>
          <w:ilvl w:val="0"/>
          <w:numId w:val="5"/>
        </w:num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полягає в тому, що на основі анкетних даних розробляють профілактичні заходи щодо попередження нещасних випадків г)Базується на експертних висновках (оцінках) умов праці, на виявленні відповідності технологічного процесу, обладнання, інструментів вимогам стандартів та ергономічним вимогам;</w:t>
      </w:r>
    </w:p>
    <w:p w14:paraId="25062A51" w14:textId="77777777" w:rsidR="00DB1583" w:rsidRPr="00232297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b/>
          <w:sz w:val="28"/>
          <w:szCs w:val="28"/>
          <w:lang w:val="uk-UA"/>
        </w:rPr>
      </w:pPr>
      <w:r w:rsidRPr="00232297">
        <w:rPr>
          <w:rFonts w:eastAsia="TimesNewRomanPSMT"/>
          <w:b/>
          <w:sz w:val="28"/>
          <w:szCs w:val="28"/>
          <w:lang w:val="uk-UA"/>
        </w:rPr>
        <w:t xml:space="preserve">Завдання № 7 </w:t>
      </w:r>
    </w:p>
    <w:p w14:paraId="789225A3" w14:textId="7B522F50" w:rsidR="00DB1583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sz w:val="28"/>
          <w:szCs w:val="28"/>
          <w:lang w:val="uk-UA"/>
        </w:rPr>
      </w:pPr>
      <w:r w:rsidRPr="00232297">
        <w:rPr>
          <w:rFonts w:eastAsia="TimesNewRomanPSMT"/>
          <w:sz w:val="28"/>
          <w:szCs w:val="28"/>
          <w:lang w:val="uk-UA"/>
        </w:rPr>
        <w:t>Причини виробничого травматизму поділяються на</w:t>
      </w:r>
      <w:r>
        <w:rPr>
          <w:rFonts w:eastAsia="TimesNewRomanPSMT"/>
          <w:sz w:val="28"/>
          <w:szCs w:val="28"/>
          <w:lang w:val="uk-UA"/>
        </w:rPr>
        <w:t xml:space="preserve"> </w:t>
      </w:r>
      <w:r w:rsidR="008639DB"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організаційні та психофізіологічні</w:t>
      </w:r>
      <w:r w:rsidRPr="00232297">
        <w:rPr>
          <w:rFonts w:eastAsia="TimesNewRomanPSMT"/>
          <w:sz w:val="28"/>
          <w:szCs w:val="28"/>
          <w:lang w:val="uk-UA"/>
        </w:rPr>
        <w:t xml:space="preserve">. </w:t>
      </w:r>
    </w:p>
    <w:p w14:paraId="19BAD19B" w14:textId="77777777" w:rsidR="00DB1583" w:rsidRDefault="00DB1583" w:rsidP="00DB1583">
      <w:pPr>
        <w:autoSpaceDE w:val="0"/>
        <w:autoSpaceDN w:val="0"/>
        <w:adjustRightInd w:val="0"/>
        <w:ind w:left="567" w:right="567" w:firstLine="284"/>
        <w:jc w:val="both"/>
        <w:rPr>
          <w:rFonts w:eastAsia="TimesNewRomanPSMT"/>
          <w:sz w:val="28"/>
          <w:szCs w:val="30"/>
          <w:lang w:val="uk-UA"/>
        </w:rPr>
      </w:pPr>
      <w:r w:rsidRPr="00232297">
        <w:rPr>
          <w:rFonts w:eastAsia="TimesNewRomanPSMT"/>
          <w:sz w:val="28"/>
          <w:szCs w:val="28"/>
          <w:lang w:val="uk-UA"/>
        </w:rPr>
        <w:t>(Економічні, психофізіологічні)</w:t>
      </w:r>
      <w:r>
        <w:rPr>
          <w:rFonts w:eastAsia="TimesNewRomanPSMT"/>
          <w:sz w:val="28"/>
          <w:szCs w:val="30"/>
          <w:lang w:val="uk-UA"/>
        </w:rPr>
        <w:t>.</w:t>
      </w:r>
    </w:p>
    <w:p w14:paraId="2F07F6A9" w14:textId="77777777" w:rsidR="00DB1583" w:rsidRDefault="00DB1583" w:rsidP="00DB1583">
      <w:pPr>
        <w:autoSpaceDE w:val="0"/>
        <w:autoSpaceDN w:val="0"/>
        <w:adjustRightInd w:val="0"/>
        <w:jc w:val="both"/>
        <w:rPr>
          <w:rFonts w:eastAsia="TimesNewRomanPSMT"/>
          <w:sz w:val="28"/>
          <w:szCs w:val="30"/>
          <w:lang w:val="uk-UA"/>
        </w:rPr>
      </w:pPr>
    </w:p>
    <w:p w14:paraId="5F8E7295" w14:textId="77777777" w:rsidR="00DB1583" w:rsidRDefault="00DB1583" w:rsidP="00DB1583">
      <w:pPr>
        <w:autoSpaceDE w:val="0"/>
        <w:autoSpaceDN w:val="0"/>
        <w:adjustRightInd w:val="0"/>
        <w:jc w:val="both"/>
        <w:rPr>
          <w:rFonts w:eastAsia="TimesNewRomanPSMT"/>
          <w:sz w:val="28"/>
          <w:szCs w:val="30"/>
          <w:lang w:val="uk-UA"/>
        </w:rPr>
      </w:pPr>
    </w:p>
    <w:p w14:paraId="76CE9904" w14:textId="77777777" w:rsidR="00DB1583" w:rsidRDefault="00DB1583" w:rsidP="00DB1583">
      <w:pPr>
        <w:autoSpaceDE w:val="0"/>
        <w:autoSpaceDN w:val="0"/>
        <w:adjustRightInd w:val="0"/>
        <w:jc w:val="both"/>
        <w:rPr>
          <w:rFonts w:eastAsia="TimesNewRomanPSMT"/>
          <w:sz w:val="28"/>
          <w:szCs w:val="30"/>
          <w:lang w:val="uk-UA"/>
        </w:rPr>
      </w:pPr>
    </w:p>
    <w:p w14:paraId="6ED114F4" w14:textId="77777777" w:rsidR="00DB1583" w:rsidRPr="00BC6648" w:rsidRDefault="00DB1583" w:rsidP="00DB1583">
      <w:p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sz w:val="20"/>
          <w:szCs w:val="20"/>
          <w:lang w:val="uk-UA"/>
        </w:rPr>
      </w:pPr>
    </w:p>
    <w:p w14:paraId="661DC10F" w14:textId="77777777" w:rsidR="00DB1583" w:rsidRPr="00232297" w:rsidRDefault="00DB1583" w:rsidP="00DB1583">
      <w:p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sz w:val="28"/>
          <w:szCs w:val="28"/>
          <w:lang w:val="uk-UA"/>
        </w:rPr>
      </w:pPr>
      <w:r w:rsidRPr="00232297">
        <w:rPr>
          <w:rFonts w:eastAsia="TimesNewRomanPSMT"/>
          <w:b/>
          <w:sz w:val="28"/>
          <w:szCs w:val="28"/>
          <w:lang w:val="uk-UA"/>
        </w:rPr>
        <w:t>Завдання № 8</w:t>
      </w:r>
    </w:p>
    <w:p w14:paraId="1E84565C" w14:textId="77777777" w:rsidR="00DB1583" w:rsidRPr="00232297" w:rsidRDefault="00DB1583" w:rsidP="00DB1583">
      <w:p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sz w:val="28"/>
          <w:szCs w:val="30"/>
          <w:lang w:val="uk-UA"/>
        </w:rPr>
      </w:pPr>
      <w:r w:rsidRPr="00232297">
        <w:rPr>
          <w:rFonts w:eastAsia="TimesNewRomanPSMT"/>
          <w:sz w:val="28"/>
          <w:szCs w:val="30"/>
          <w:lang w:val="uk-UA"/>
        </w:rPr>
        <w:t>До психофізіологічних причин травматизму відносяться:</w:t>
      </w:r>
    </w:p>
    <w:p w14:paraId="55F1CF34" w14:textId="77777777" w:rsidR="00DB1583" w:rsidRPr="008639DB" w:rsidRDefault="00DB1583" w:rsidP="00DB1583">
      <w:pPr>
        <w:pStyle w:val="a4"/>
        <w:numPr>
          <w:ilvl w:val="0"/>
          <w:numId w:val="6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алкогольне, наркотичне сп’яніння, токсикологічне отруєння;</w:t>
      </w:r>
    </w:p>
    <w:p w14:paraId="73C031D4" w14:textId="77777777" w:rsidR="00DB1583" w:rsidRPr="008639DB" w:rsidRDefault="00DB1583" w:rsidP="00DB1583">
      <w:pPr>
        <w:pStyle w:val="a4"/>
        <w:numPr>
          <w:ilvl w:val="0"/>
          <w:numId w:val="6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низька нервово-психічна стійкість;</w:t>
      </w:r>
    </w:p>
    <w:p w14:paraId="70E46B8B" w14:textId="77777777" w:rsidR="00DB1583" w:rsidRPr="008639DB" w:rsidRDefault="00DB1583" w:rsidP="00DB1583">
      <w:pPr>
        <w:pStyle w:val="a4"/>
        <w:numPr>
          <w:ilvl w:val="0"/>
          <w:numId w:val="6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незадовільні фізичні дані або стан здоров’я;</w:t>
      </w:r>
    </w:p>
    <w:p w14:paraId="05FE9774" w14:textId="77777777" w:rsidR="00DB1583" w:rsidRPr="008639DB" w:rsidRDefault="00DB1583" w:rsidP="00DB1583">
      <w:pPr>
        <w:pStyle w:val="a4"/>
        <w:numPr>
          <w:ilvl w:val="0"/>
          <w:numId w:val="6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незадовільний “психологічний” клімат у колективі;</w:t>
      </w:r>
    </w:p>
    <w:p w14:paraId="723E4D6F" w14:textId="77777777" w:rsidR="00DB1583" w:rsidRPr="008639DB" w:rsidRDefault="00DB1583" w:rsidP="00DB1583">
      <w:pPr>
        <w:pStyle w:val="a4"/>
        <w:numPr>
          <w:ilvl w:val="0"/>
          <w:numId w:val="6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порушення правил особистої гігієни.</w:t>
      </w:r>
    </w:p>
    <w:p w14:paraId="5B2D7F21" w14:textId="77777777" w:rsidR="00DB1583" w:rsidRPr="00BC6648" w:rsidRDefault="00DB1583" w:rsidP="00DB1583">
      <w:pPr>
        <w:pStyle w:val="a4"/>
        <w:autoSpaceDE w:val="0"/>
        <w:autoSpaceDN w:val="0"/>
        <w:adjustRightInd w:val="0"/>
        <w:ind w:left="794" w:right="510"/>
        <w:jc w:val="both"/>
        <w:rPr>
          <w:rFonts w:eastAsia="TimesNewRomanPSMT"/>
          <w:sz w:val="20"/>
          <w:szCs w:val="20"/>
          <w:lang w:val="uk-UA"/>
        </w:rPr>
      </w:pPr>
    </w:p>
    <w:p w14:paraId="7B72ECBA" w14:textId="77777777" w:rsidR="00DB1583" w:rsidRDefault="00DB1583" w:rsidP="00DB1583">
      <w:p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sz w:val="28"/>
          <w:szCs w:val="28"/>
          <w:lang w:val="uk-UA"/>
        </w:rPr>
      </w:pPr>
      <w:r w:rsidRPr="00232297">
        <w:rPr>
          <w:rFonts w:eastAsia="TimesNewRomanPSMT"/>
          <w:b/>
          <w:sz w:val="28"/>
          <w:szCs w:val="28"/>
          <w:lang w:val="uk-UA"/>
        </w:rPr>
        <w:t xml:space="preserve">Завдання № </w:t>
      </w:r>
      <w:r>
        <w:rPr>
          <w:rFonts w:eastAsia="TimesNewRomanPSMT"/>
          <w:b/>
          <w:sz w:val="28"/>
          <w:szCs w:val="28"/>
          <w:lang w:val="uk-UA"/>
        </w:rPr>
        <w:t>9</w:t>
      </w:r>
    </w:p>
    <w:p w14:paraId="02F09050" w14:textId="77777777" w:rsidR="00DB1583" w:rsidRPr="00B86FDF" w:rsidRDefault="00DB1583" w:rsidP="00DB1583">
      <w:p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sz w:val="28"/>
          <w:szCs w:val="30"/>
        </w:rPr>
      </w:pPr>
      <w:proofErr w:type="spellStart"/>
      <w:r w:rsidRPr="00B86FDF">
        <w:rPr>
          <w:rFonts w:eastAsia="TimesNewRomanPSMT"/>
          <w:sz w:val="28"/>
          <w:szCs w:val="30"/>
        </w:rPr>
        <w:t>Що</w:t>
      </w:r>
      <w:proofErr w:type="spellEnd"/>
      <w:r>
        <w:rPr>
          <w:rFonts w:eastAsia="TimesNewRomanPSMT"/>
          <w:sz w:val="28"/>
          <w:szCs w:val="30"/>
        </w:rPr>
        <w:t xml:space="preserve"> </w:t>
      </w:r>
      <w:proofErr w:type="spellStart"/>
      <w:r w:rsidRPr="00B86FDF">
        <w:rPr>
          <w:rFonts w:eastAsia="TimesNewRomanPSMT"/>
          <w:sz w:val="28"/>
          <w:szCs w:val="30"/>
        </w:rPr>
        <w:t>відноситься</w:t>
      </w:r>
      <w:proofErr w:type="spellEnd"/>
      <w:r>
        <w:rPr>
          <w:rFonts w:eastAsia="TimesNewRomanPSMT"/>
          <w:sz w:val="28"/>
          <w:szCs w:val="30"/>
        </w:rPr>
        <w:t xml:space="preserve"> </w:t>
      </w:r>
      <w:r w:rsidRPr="00B86FDF">
        <w:rPr>
          <w:rFonts w:eastAsia="TimesNewRomanPSMT"/>
          <w:sz w:val="28"/>
          <w:szCs w:val="30"/>
        </w:rPr>
        <w:t>до</w:t>
      </w:r>
      <w:r>
        <w:rPr>
          <w:rFonts w:eastAsia="TimesNewRomanPSMT"/>
          <w:sz w:val="28"/>
          <w:szCs w:val="30"/>
        </w:rPr>
        <w:t xml:space="preserve"> </w:t>
      </w:r>
      <w:proofErr w:type="spellStart"/>
      <w:r w:rsidRPr="00B86FDF">
        <w:rPr>
          <w:rFonts w:eastAsia="TimesNewRomanPSMT"/>
          <w:sz w:val="28"/>
          <w:szCs w:val="30"/>
        </w:rPr>
        <w:t>санітарно-гігієнічних</w:t>
      </w:r>
      <w:proofErr w:type="spellEnd"/>
      <w:r>
        <w:rPr>
          <w:rFonts w:eastAsia="TimesNewRomanPSMT"/>
          <w:sz w:val="28"/>
          <w:szCs w:val="30"/>
        </w:rPr>
        <w:t xml:space="preserve"> </w:t>
      </w:r>
      <w:proofErr w:type="spellStart"/>
      <w:r w:rsidRPr="00B86FDF">
        <w:rPr>
          <w:rFonts w:eastAsia="TimesNewRomanPSMT"/>
          <w:sz w:val="28"/>
          <w:szCs w:val="30"/>
        </w:rPr>
        <w:t>заходів</w:t>
      </w:r>
      <w:proofErr w:type="spellEnd"/>
      <w:r>
        <w:rPr>
          <w:rFonts w:eastAsia="TimesNewRomanPSMT"/>
          <w:sz w:val="28"/>
          <w:szCs w:val="30"/>
        </w:rPr>
        <w:t xml:space="preserve"> </w:t>
      </w:r>
      <w:proofErr w:type="spellStart"/>
      <w:r w:rsidRPr="00B86FDF">
        <w:rPr>
          <w:rFonts w:eastAsia="TimesNewRomanPSMT"/>
          <w:sz w:val="28"/>
          <w:szCs w:val="30"/>
        </w:rPr>
        <w:t>щодо</w:t>
      </w:r>
      <w:proofErr w:type="spellEnd"/>
      <w:r>
        <w:rPr>
          <w:rFonts w:eastAsia="TimesNewRomanPSMT"/>
          <w:sz w:val="28"/>
          <w:szCs w:val="30"/>
        </w:rPr>
        <w:t xml:space="preserve"> </w:t>
      </w:r>
      <w:proofErr w:type="spellStart"/>
      <w:r w:rsidRPr="00B86FDF">
        <w:rPr>
          <w:rFonts w:eastAsia="TimesNewRomanPSMT"/>
          <w:sz w:val="28"/>
          <w:szCs w:val="30"/>
        </w:rPr>
        <w:t>профілактики</w:t>
      </w:r>
      <w:proofErr w:type="spellEnd"/>
      <w:r>
        <w:rPr>
          <w:rFonts w:eastAsia="TimesNewRomanPSMT"/>
          <w:sz w:val="28"/>
          <w:szCs w:val="30"/>
        </w:rPr>
        <w:t xml:space="preserve"> </w:t>
      </w:r>
      <w:proofErr w:type="spellStart"/>
      <w:r w:rsidRPr="00B86FDF">
        <w:rPr>
          <w:rFonts w:eastAsia="TimesNewRomanPSMT"/>
          <w:sz w:val="28"/>
          <w:szCs w:val="30"/>
        </w:rPr>
        <w:t>виробничого</w:t>
      </w:r>
      <w:proofErr w:type="spellEnd"/>
      <w:r>
        <w:rPr>
          <w:rFonts w:eastAsia="TimesNewRomanPSMT"/>
          <w:sz w:val="28"/>
          <w:szCs w:val="30"/>
        </w:rPr>
        <w:t xml:space="preserve"> </w:t>
      </w:r>
      <w:r w:rsidRPr="00B86FDF">
        <w:rPr>
          <w:rFonts w:eastAsia="TimesNewRomanPSMT"/>
          <w:sz w:val="28"/>
          <w:szCs w:val="30"/>
        </w:rPr>
        <w:t>травматизму?</w:t>
      </w:r>
    </w:p>
    <w:p w14:paraId="61DD0089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економічне стимулювання охорони праці;</w:t>
      </w:r>
    </w:p>
    <w:p w14:paraId="766A7FCE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встановлення оптимальних умов праці;</w:t>
      </w:r>
    </w:p>
    <w:p w14:paraId="6EB5F23A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дотримання трудового законодавства, державних міжгалузевих та галузевих нормативних актів з охорони праці;</w:t>
      </w:r>
    </w:p>
    <w:p w14:paraId="551A8697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цільове використання коштів, виділених на охорону праці;</w:t>
      </w:r>
    </w:p>
    <w:p w14:paraId="75AA41DE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встановлення оптимального режиму праці та відпочинку;</w:t>
      </w:r>
    </w:p>
    <w:p w14:paraId="1FADDAE2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механізація та автоматизація виробництва;</w:t>
      </w:r>
    </w:p>
    <w:p w14:paraId="6BB2E60B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створення місць для короткочасного відпочинку працівників;</w:t>
      </w:r>
    </w:p>
    <w:p w14:paraId="49301AF3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правильна організація роботи, навчання, контроль та нагляд за охороною праці;</w:t>
      </w:r>
    </w:p>
    <w:p w14:paraId="5586A5EE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обладнання санітарно-побутових кімнат;</w:t>
      </w:r>
    </w:p>
    <w:p w14:paraId="29988A82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lastRenderedPageBreak/>
        <w:t>впровадження безпечних методів наукової організації праці;</w:t>
      </w:r>
    </w:p>
    <w:p w14:paraId="5C06580B" w14:textId="77777777" w:rsidR="00DB1583" w:rsidRPr="008639DB" w:rsidRDefault="00DB1583" w:rsidP="00DB1583">
      <w:pPr>
        <w:pStyle w:val="a4"/>
        <w:numPr>
          <w:ilvl w:val="0"/>
          <w:numId w:val="7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пропаганда питань охорони праці.</w:t>
      </w:r>
    </w:p>
    <w:p w14:paraId="7A6C8E63" w14:textId="77777777" w:rsidR="00DB1583" w:rsidRPr="00BC6648" w:rsidRDefault="00DB1583" w:rsidP="00DB1583">
      <w:pPr>
        <w:autoSpaceDE w:val="0"/>
        <w:autoSpaceDN w:val="0"/>
        <w:adjustRightInd w:val="0"/>
        <w:ind w:left="510" w:right="510" w:firstLine="284"/>
        <w:rPr>
          <w:rFonts w:eastAsia="TimesNewRomanPSMT"/>
          <w:b/>
          <w:sz w:val="20"/>
          <w:szCs w:val="20"/>
          <w:lang w:val="uk-UA"/>
        </w:rPr>
      </w:pPr>
    </w:p>
    <w:p w14:paraId="319F577D" w14:textId="77777777" w:rsidR="00DB1583" w:rsidRDefault="00DB1583" w:rsidP="00DB1583">
      <w:pPr>
        <w:autoSpaceDE w:val="0"/>
        <w:autoSpaceDN w:val="0"/>
        <w:adjustRightInd w:val="0"/>
        <w:ind w:left="510" w:right="510" w:firstLine="284"/>
        <w:rPr>
          <w:rFonts w:eastAsia="TimesNewRomanPSMT"/>
          <w:b/>
          <w:sz w:val="28"/>
          <w:szCs w:val="28"/>
          <w:lang w:val="uk-UA"/>
        </w:rPr>
      </w:pPr>
      <w:r w:rsidRPr="00232297">
        <w:rPr>
          <w:rFonts w:eastAsia="TimesNewRomanPSMT"/>
          <w:b/>
          <w:sz w:val="28"/>
          <w:szCs w:val="28"/>
          <w:lang w:val="uk-UA"/>
        </w:rPr>
        <w:t>Завдання №</w:t>
      </w:r>
      <w:r>
        <w:rPr>
          <w:rFonts w:eastAsia="TimesNewRomanPSMT"/>
          <w:b/>
          <w:sz w:val="28"/>
          <w:szCs w:val="28"/>
          <w:lang w:val="uk-UA"/>
        </w:rPr>
        <w:t>10</w:t>
      </w:r>
    </w:p>
    <w:p w14:paraId="48EC2310" w14:textId="77777777" w:rsidR="00DB1583" w:rsidRPr="00B86FDF" w:rsidRDefault="00DB1583" w:rsidP="00DB1583">
      <w:pPr>
        <w:autoSpaceDE w:val="0"/>
        <w:autoSpaceDN w:val="0"/>
        <w:adjustRightInd w:val="0"/>
        <w:ind w:left="510" w:right="510" w:firstLine="284"/>
        <w:rPr>
          <w:rFonts w:eastAsia="TimesNewRomanPSMT"/>
          <w:sz w:val="28"/>
          <w:szCs w:val="28"/>
        </w:rPr>
      </w:pPr>
      <w:proofErr w:type="spellStart"/>
      <w:r w:rsidRPr="00B86FDF">
        <w:rPr>
          <w:rFonts w:eastAsia="TimesNewRomanPSMT"/>
          <w:sz w:val="28"/>
          <w:szCs w:val="28"/>
        </w:rPr>
        <w:t>Що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відноситься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r w:rsidRPr="00B86FDF">
        <w:rPr>
          <w:rFonts w:eastAsia="TimesNewRomanPSMT"/>
          <w:sz w:val="28"/>
          <w:szCs w:val="28"/>
        </w:rPr>
        <w:t>до</w:t>
      </w:r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організаційних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заходів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щодо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профілактики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proofErr w:type="spellStart"/>
      <w:r w:rsidRPr="00B86FDF">
        <w:rPr>
          <w:rFonts w:eastAsia="TimesNewRomanPSMT"/>
          <w:sz w:val="28"/>
          <w:szCs w:val="28"/>
        </w:rPr>
        <w:t>виробничого</w:t>
      </w:r>
      <w:proofErr w:type="spellEnd"/>
      <w:r>
        <w:rPr>
          <w:rFonts w:eastAsia="TimesNewRomanPSMT"/>
          <w:sz w:val="28"/>
          <w:szCs w:val="28"/>
        </w:rPr>
        <w:t xml:space="preserve"> </w:t>
      </w:r>
      <w:r w:rsidRPr="00B86FDF">
        <w:rPr>
          <w:rFonts w:eastAsia="TimesNewRomanPSMT"/>
          <w:sz w:val="28"/>
          <w:szCs w:val="28"/>
        </w:rPr>
        <w:t>травматизму?</w:t>
      </w:r>
    </w:p>
    <w:p w14:paraId="2609EFAF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економічне стимулювання охорони праці;</w:t>
      </w:r>
    </w:p>
    <w:p w14:paraId="663CE25D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встановлення оптимальних умов праці;</w:t>
      </w:r>
    </w:p>
    <w:p w14:paraId="48C5092A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цільове використання коштів, виділених на охорону праці;</w:t>
      </w:r>
    </w:p>
    <w:p w14:paraId="49FD6201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встановлення оптимального режиму праці та відпочинку;</w:t>
      </w:r>
    </w:p>
    <w:p w14:paraId="18A5A0B9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механізація та автоматизація виробництва;</w:t>
      </w:r>
    </w:p>
    <w:p w14:paraId="2513A350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дотримання трудового законодавства, державних міжгалузевих та галузевих нормативних актів з охорони праці;</w:t>
      </w:r>
    </w:p>
    <w:p w14:paraId="7D6D0030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створення місць для короткочасного відпочинку працівників4</w:t>
      </w:r>
    </w:p>
    <w:p w14:paraId="59AD2041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правильна організація роботи, навчання, контроль та нагляд за охороною праці;</w:t>
      </w:r>
    </w:p>
    <w:p w14:paraId="61BB5054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left="510" w:right="510" w:firstLine="284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обладнання санітарно-побутових кімнат ;</w:t>
      </w:r>
    </w:p>
    <w:p w14:paraId="6A0583E0" w14:textId="77777777" w:rsidR="00DB1583" w:rsidRPr="008639DB" w:rsidRDefault="00DB1583" w:rsidP="00DB1583">
      <w:pPr>
        <w:pStyle w:val="a4"/>
        <w:numPr>
          <w:ilvl w:val="0"/>
          <w:numId w:val="8"/>
        </w:numPr>
        <w:autoSpaceDE w:val="0"/>
        <w:autoSpaceDN w:val="0"/>
        <w:adjustRightInd w:val="0"/>
        <w:ind w:right="510" w:hanging="153"/>
        <w:jc w:val="both"/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впровадження безпечних методів наукової організації праці;</w:t>
      </w:r>
    </w:p>
    <w:p w14:paraId="70A10EA6" w14:textId="77777777" w:rsidR="00926F57" w:rsidRDefault="00DB1583" w:rsidP="00DB1583">
      <w:pPr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  <w:r w:rsidRPr="008639DB"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  <w:t>пропаганда питань охорони праці.</w:t>
      </w:r>
    </w:p>
    <w:p w14:paraId="6DBBF42F" w14:textId="77777777" w:rsidR="008639DB" w:rsidRDefault="008639DB" w:rsidP="00DB1583">
      <w:pPr>
        <w:rPr>
          <w:rFonts w:eastAsia="TimesNewRomanPSMT"/>
          <w:b/>
          <w:i/>
          <w:color w:val="70AD47" w:themeColor="accent6"/>
          <w:sz w:val="28"/>
          <w:szCs w:val="28"/>
          <w:lang w:val="uk-UA"/>
        </w:rPr>
      </w:pPr>
    </w:p>
    <w:p w14:paraId="5E938EE8" w14:textId="77777777" w:rsidR="008639DB" w:rsidRPr="008639DB" w:rsidRDefault="008639DB" w:rsidP="008F3068">
      <w:pPr>
        <w:rPr>
          <w:lang w:val="uk-UA"/>
        </w:rPr>
      </w:pPr>
    </w:p>
    <w:sectPr w:rsidR="008639DB" w:rsidRPr="008639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5CDE"/>
    <w:multiLevelType w:val="hybridMultilevel"/>
    <w:tmpl w:val="7E04069E"/>
    <w:lvl w:ilvl="0" w:tplc="82B4BDE6">
      <w:start w:val="1"/>
      <w:numFmt w:val="bullet"/>
      <w:lvlText w:val="□"/>
      <w:lvlJc w:val="left"/>
      <w:pPr>
        <w:ind w:left="1571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7EA123B"/>
    <w:multiLevelType w:val="hybridMultilevel"/>
    <w:tmpl w:val="9BDA9C60"/>
    <w:lvl w:ilvl="0" w:tplc="82B4BDE6">
      <w:start w:val="1"/>
      <w:numFmt w:val="bullet"/>
      <w:lvlText w:val="□"/>
      <w:lvlJc w:val="left"/>
      <w:pPr>
        <w:ind w:left="1004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DB1CA5"/>
    <w:multiLevelType w:val="hybridMultilevel"/>
    <w:tmpl w:val="E13C406E"/>
    <w:lvl w:ilvl="0" w:tplc="82B4BDE6">
      <w:start w:val="1"/>
      <w:numFmt w:val="bullet"/>
      <w:lvlText w:val="□"/>
      <w:lvlJc w:val="left"/>
      <w:pPr>
        <w:ind w:left="1004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C433F33"/>
    <w:multiLevelType w:val="hybridMultilevel"/>
    <w:tmpl w:val="571C26E0"/>
    <w:lvl w:ilvl="0" w:tplc="82B4BDE6">
      <w:start w:val="1"/>
      <w:numFmt w:val="bullet"/>
      <w:lvlText w:val="□"/>
      <w:lvlJc w:val="left"/>
      <w:pPr>
        <w:ind w:left="1571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516E22"/>
    <w:multiLevelType w:val="hybridMultilevel"/>
    <w:tmpl w:val="8660A4BA"/>
    <w:lvl w:ilvl="0" w:tplc="82B4BDE6">
      <w:start w:val="1"/>
      <w:numFmt w:val="bullet"/>
      <w:lvlText w:val="□"/>
      <w:lvlJc w:val="left"/>
      <w:pPr>
        <w:ind w:left="1004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CA20E49"/>
    <w:multiLevelType w:val="hybridMultilevel"/>
    <w:tmpl w:val="8438DF2A"/>
    <w:lvl w:ilvl="0" w:tplc="82B4BDE6">
      <w:start w:val="1"/>
      <w:numFmt w:val="bullet"/>
      <w:lvlText w:val="□"/>
      <w:lvlJc w:val="left"/>
      <w:pPr>
        <w:ind w:left="1004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D093BB2"/>
    <w:multiLevelType w:val="hybridMultilevel"/>
    <w:tmpl w:val="4DE0DCA4"/>
    <w:lvl w:ilvl="0" w:tplc="82B4BDE6">
      <w:start w:val="1"/>
      <w:numFmt w:val="bullet"/>
      <w:lvlText w:val="□"/>
      <w:lvlJc w:val="left"/>
      <w:pPr>
        <w:ind w:left="1571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32D4454"/>
    <w:multiLevelType w:val="hybridMultilevel"/>
    <w:tmpl w:val="7F648A1C"/>
    <w:lvl w:ilvl="0" w:tplc="82B4BDE6">
      <w:start w:val="1"/>
      <w:numFmt w:val="bullet"/>
      <w:lvlText w:val="□"/>
      <w:lvlJc w:val="left"/>
      <w:pPr>
        <w:ind w:left="1428" w:hanging="360"/>
      </w:pPr>
      <w:rPr>
        <w:rFonts w:ascii="Times New Roman" w:eastAsia="Times New Roman" w:hAnsi="Times New Roman" w:hint="default"/>
        <w:w w:val="123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583"/>
    <w:rsid w:val="00093CF5"/>
    <w:rsid w:val="000F5533"/>
    <w:rsid w:val="00173338"/>
    <w:rsid w:val="008639DB"/>
    <w:rsid w:val="008F3068"/>
    <w:rsid w:val="00947745"/>
    <w:rsid w:val="00D87EB9"/>
    <w:rsid w:val="00DB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C5BA"/>
  <w15:chartTrackingRefBased/>
  <w15:docId w15:val="{746D48F5-3603-4EFE-8B25-F34496F7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B15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B1583"/>
    <w:pPr>
      <w:ind w:left="720"/>
      <w:contextualSpacing/>
    </w:pPr>
  </w:style>
  <w:style w:type="paragraph" w:customStyle="1" w:styleId="61">
    <w:name w:val="Заголовок 61"/>
    <w:basedOn w:val="a"/>
    <w:uiPriority w:val="1"/>
    <w:qFormat/>
    <w:rsid w:val="00DB1583"/>
    <w:pPr>
      <w:widowControl w:val="0"/>
      <w:ind w:left="2001" w:hanging="1134"/>
      <w:outlineLvl w:val="6"/>
    </w:pPr>
    <w:rPr>
      <w:rFonts w:ascii="Courier New" w:eastAsia="Courier New" w:hAnsi="Courier New"/>
      <w:b/>
      <w:bCs/>
      <w:sz w:val="30"/>
      <w:szCs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Кумпан</cp:lastModifiedBy>
  <cp:revision>2</cp:revision>
  <dcterms:created xsi:type="dcterms:W3CDTF">2023-03-02T20:09:00Z</dcterms:created>
  <dcterms:modified xsi:type="dcterms:W3CDTF">2023-03-02T20:09:00Z</dcterms:modified>
</cp:coreProperties>
</file>