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4"/>
        <w:gridCol w:w="3364"/>
        <w:gridCol w:w="3364"/>
      </w:tblGrid>
      <w:tr>
        <w:tc>
          <w:tcPr>
            <w:tcW w:type="dxa" w:w="1247"/>
            <w:vAlign w:val="center"/>
            <w:vMerge w:val="restart"/>
            <w:tcMar>
              <w:top w:w="80" w:type="dxa"/>
              <w:start w:w="80" w:type="dxa"/>
              <w:bottom w:w="80" w:type="dxa"/>
              <w:end w:w="80" w:type="dxa"/>
            </w:tcMar>
            <w:shd w:fill="52A9E2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32"/>
              </w:rPr>
              <w:t>INT</w:t>
            </w:r>
          </w:p>
        </w:tc>
        <w:tc>
          <w:tcPr>
            <w:tcW w:type="dxa" w:w="66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INSTYTUT NAUK TECHNICZNYCH</w:t>
            </w:r>
          </w:p>
        </w:tc>
        <w:tc>
          <w:tcPr>
            <w:tcW w:type="dxa" w:w="1587"/>
            <w:vAlign w:val="center"/>
            <w:vMerge w:val="restart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43769"/>
                <w:sz w:val="30"/>
              </w:rPr>
              <w:t>UKEN</w:t>
            </w:r>
          </w:p>
        </w:tc>
      </w:tr>
      <w:tr>
        <w:tc>
          <w:tcPr>
            <w:tcW w:type="dxa" w:w="1247"/>
            <w:vAlign w:val="center"/>
            <w:vMerge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  <w:tc>
          <w:tcPr>
            <w:tcW w:type="dxa" w:w="66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4"/>
              </w:rPr>
              <w:t>UNIWERSYTET KOMISJI EDUKACJI NARODOWEJ W KRAKOWIE</w:t>
            </w:r>
          </w:p>
        </w:tc>
        <w:tc>
          <w:tcPr>
            <w:tcW w:type="dxa" w:w="1587"/>
            <w:vAlign w:val="center"/>
            <w:vMerge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</w:tr>
    </w:tbl>
    <w:p>
      <w:pPr>
        <w:spacing w:after="160"/>
      </w:pPr>
    </w:p>
    <w:p>
      <w:pPr>
        <w:spacing w:after="520"/>
      </w:pPr>
    </w:p>
    <w:p>
      <w:pPr>
        <w:spacing w:after="160"/>
        <w:jc w:val="center"/>
      </w:pPr>
      <w:r>
        <w:rPr>
          <w:rFonts w:ascii="Arial" w:hAnsi="Arial" w:eastAsia="Arial"/>
          <w:b/>
          <w:color w:val="0F7C83"/>
          <w:sz w:val="18"/>
        </w:rPr>
        <w:t>SPRAWOZDANIE Z ĆWICZENIA LABORATORYJNEGO</w:t>
      </w:r>
    </w:p>
    <w:p>
      <w:pPr>
        <w:pStyle w:val="Title"/>
        <w:keepNext/>
      </w:pPr>
      <w:r>
        <w:t>Pomiary mikrometrem zewnętrznym</w:t>
      </w:r>
    </w:p>
    <w:p>
      <w:pPr>
        <w:pStyle w:val="Subtitle"/>
        <w:keepNext/>
      </w:pPr>
      <w:r>
        <w:t>Śruba mikrometryczna technika odczytu i analiza wyników</w:t>
      </w:r>
    </w:p>
    <w:p>
      <w:pPr>
        <w:spacing w:before="200" w:after="80"/>
        <w:jc w:val="center"/>
      </w:pPr>
      <w:r>
        <w:rPr>
          <w:rFonts w:ascii="Arial" w:hAnsi="Arial" w:eastAsia="Arial"/>
          <w:b/>
          <w:color w:val="A62B3C"/>
          <w:sz w:val="21"/>
        </w:rPr>
        <w:t>WERSJA SYMULACYJNA</w:t>
      </w:r>
    </w:p>
    <w:p>
      <w:pPr>
        <w:spacing w:after="360"/>
        <w:jc w:val="center"/>
      </w:pPr>
      <w:r>
        <w:t>Dane w tabelach są przykładem obliczeniowym i nie stanowią zapisu rzeczywiście przeprowadzonej serii pomiarowej.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6"/>
        <w:gridCol w:w="5046"/>
      </w:tblGrid>
      <w:tr>
        <w:tc>
          <w:tcPr>
            <w:tcW w:type="dxa" w:w="2438"/>
            <w:shd w:fill="17365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AUTOR</w:t>
            </w:r>
          </w:p>
        </w:tc>
        <w:tc>
          <w:tcPr>
            <w:tcW w:type="dxa" w:w="68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2D2D2D"/>
                <w:sz w:val="17"/>
              </w:rPr>
              <w:t>Wiktor Złotnik</w:t>
            </w:r>
          </w:p>
        </w:tc>
      </w:tr>
      <w:tr>
        <w:tc>
          <w:tcPr>
            <w:tcW w:type="dxa" w:w="2438"/>
            <w:shd w:fill="17365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PRZEDMIOT</w:t>
            </w:r>
          </w:p>
        </w:tc>
        <w:tc>
          <w:tcPr>
            <w:tcW w:type="dxa" w:w="6860"/>
            <w:shd w:fill="F2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2D2D2D"/>
                <w:sz w:val="17"/>
              </w:rPr>
              <w:t>Metrologia i systemy pomiarowe</w:t>
            </w:r>
          </w:p>
        </w:tc>
      </w:tr>
      <w:tr>
        <w:tc>
          <w:tcPr>
            <w:tcW w:type="dxa" w:w="2438"/>
            <w:shd w:fill="17365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CHARAKTER DANYCH</w:t>
            </w:r>
          </w:p>
        </w:tc>
        <w:tc>
          <w:tcPr>
            <w:tcW w:type="dxa" w:w="68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2D2D2D"/>
                <w:sz w:val="17"/>
              </w:rPr>
              <w:t>Symulacja dydaktyczna i przykład obliczeniowy</w:t>
            </w:r>
          </w:p>
        </w:tc>
      </w:tr>
      <w:tr>
        <w:tc>
          <w:tcPr>
            <w:tcW w:type="dxa" w:w="2438"/>
            <w:shd w:fill="17365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OPRACOWANIE</w:t>
            </w:r>
          </w:p>
        </w:tc>
        <w:tc>
          <w:tcPr>
            <w:tcW w:type="dxa" w:w="6860"/>
            <w:shd w:fill="F2F7FA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2D2D2D"/>
                <w:sz w:val="17"/>
              </w:rPr>
              <w:t>Nowa redakcja i układ graficzny wrzesień 2026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 Cel ćwiczenia</w:t>
      </w:r>
    </w:p>
    <w:p>
      <w:pPr>
        <w:widowControl/>
        <w:jc w:val="both"/>
      </w:pPr>
      <w:r>
        <w:t>Celem ćwiczenia jest opanowanie prawidłowej obsługi mikrometru zewnętrznego oraz wykonanie powtarzalnych pomiarów długości z rozdzielczością 0,01 mm. Opracowanie obejmuje kontrolę położenia zerowego, poprawne użycie sprzęgiełka i analizę niepewności wyznaczonej z serii odczytów.</w:t>
      </w:r>
    </w:p>
    <w:p>
      <w:pPr>
        <w:pStyle w:val="Heading1"/>
        <w:keepNext/>
      </w:pPr>
      <w:r>
        <w:t>2 Podstawy działania przyrządu</w:t>
      </w:r>
    </w:p>
    <w:p>
      <w:pPr>
        <w:widowControl/>
        <w:jc w:val="both"/>
      </w:pPr>
      <w:r>
        <w:t>Mikrometr wykorzystuje precyzyjną parę śrubową. Obrót bębna powoduje osiowe przesunięcie wrzeciona, a wartość wymiaru odczytuje się jako sumę wskazania na tulei i części wynikającej z położenia podziałki bębna. Dla typowego skoku śruby 0,5 mm i pięćdziesięciu działek jeden odstęp podziałki odpowiada 0,01 mm.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08000" cy="2377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3_p3_img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37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Rysunek 1  Mikrometr zewnętrzny</w:t>
      </w:r>
    </w:p>
    <w:p>
      <w:pPr>
        <w:widowControl/>
        <w:jc w:val="both"/>
      </w:pPr>
      <w:r>
        <w:t>Sprzęgiełko ogranicza siłę docisku, dlatego końcowe zbliżanie powierzchni pomiarowych powinno odbywać się z jego użyciem. Na wynik wpływają zabrudzenia, temperatura przyrządu i przedmiotu, nieosiowe ustawienie oraz błąd odczytu skali.</w:t>
      </w:r>
    </w:p>
    <w:p>
      <w:pPr>
        <w:pStyle w:val="Heading1"/>
        <w:keepNext/>
      </w:pPr>
      <w:r>
        <w:t>3 Przygotowanie i przebieg</w:t>
      </w:r>
    </w:p>
    <w:p>
      <w:pPr>
        <w:spacing w:after="80"/>
        <w:ind w:left="283" w:hanging="283"/>
      </w:pPr>
      <w:r>
        <w:rPr>
          <w:rFonts w:ascii="Arial" w:hAnsi="Arial" w:eastAsia="Arial"/>
          <w:b/>
          <w:color w:val="0F7C83"/>
          <w:sz w:val="19"/>
        </w:rPr>
        <w:t xml:space="preserve">01  </w:t>
      </w:r>
      <w:r>
        <w:rPr>
          <w:rFonts w:ascii="Arial" w:hAnsi="Arial" w:eastAsia="Arial"/>
          <w:color w:val="000000"/>
          <w:sz w:val="20"/>
        </w:rPr>
        <w:t>Skontrolowano czystość kowadełka i wrzeciona oraz sprawdzono wskazanie zerowe.</w:t>
      </w:r>
    </w:p>
    <w:p>
      <w:pPr>
        <w:spacing w:after="80"/>
        <w:ind w:left="283" w:hanging="283"/>
      </w:pPr>
      <w:r>
        <w:rPr>
          <w:rFonts w:ascii="Arial" w:hAnsi="Arial" w:eastAsia="Arial"/>
          <w:b/>
          <w:color w:val="0F7C83"/>
          <w:sz w:val="19"/>
        </w:rPr>
        <w:t xml:space="preserve">02  </w:t>
      </w:r>
      <w:r>
        <w:rPr>
          <w:rFonts w:ascii="Arial" w:hAnsi="Arial" w:eastAsia="Arial"/>
          <w:color w:val="000000"/>
          <w:sz w:val="20"/>
        </w:rPr>
        <w:t>Mierzony detal ustawiono pomiędzy powierzchniami pomiarowymi bez przekoszenia.</w:t>
      </w:r>
    </w:p>
    <w:p>
      <w:pPr>
        <w:spacing w:after="80"/>
        <w:ind w:left="283" w:hanging="283"/>
      </w:pPr>
      <w:r>
        <w:rPr>
          <w:rFonts w:ascii="Arial" w:hAnsi="Arial" w:eastAsia="Arial"/>
          <w:b/>
          <w:color w:val="0F7C83"/>
          <w:sz w:val="19"/>
        </w:rPr>
        <w:t xml:space="preserve">03  </w:t>
      </w:r>
      <w:r>
        <w:rPr>
          <w:rFonts w:ascii="Arial" w:hAnsi="Arial" w:eastAsia="Arial"/>
          <w:color w:val="000000"/>
          <w:sz w:val="20"/>
        </w:rPr>
        <w:t>Wrzeciono dosuwano sprzęgiełkiem do uzyskania lekkiego i powtarzalnego docisku.</w:t>
      </w:r>
    </w:p>
    <w:p>
      <w:pPr>
        <w:spacing w:after="80"/>
        <w:ind w:left="283" w:hanging="283"/>
      </w:pPr>
      <w:r>
        <w:rPr>
          <w:rFonts w:ascii="Arial" w:hAnsi="Arial" w:eastAsia="Arial"/>
          <w:b/>
          <w:color w:val="0F7C83"/>
          <w:sz w:val="19"/>
        </w:rPr>
        <w:t xml:space="preserve">04  </w:t>
      </w:r>
      <w:r>
        <w:rPr>
          <w:rFonts w:ascii="Arial" w:hAnsi="Arial" w:eastAsia="Arial"/>
          <w:color w:val="000000"/>
          <w:sz w:val="20"/>
        </w:rPr>
        <w:t>Dla ośmiu wymiarów A do H wykonano po dziesięć odczytów.</w:t>
      </w:r>
    </w:p>
    <w:p>
      <w:pPr>
        <w:spacing w:after="80"/>
        <w:ind w:left="283" w:hanging="283"/>
      </w:pPr>
      <w:r>
        <w:rPr>
          <w:rFonts w:ascii="Arial" w:hAnsi="Arial" w:eastAsia="Arial"/>
          <w:b/>
          <w:color w:val="0F7C83"/>
          <w:sz w:val="19"/>
        </w:rPr>
        <w:t xml:space="preserve">05  </w:t>
      </w:r>
      <w:r>
        <w:rPr>
          <w:rFonts w:ascii="Arial" w:hAnsi="Arial" w:eastAsia="Arial"/>
          <w:color w:val="000000"/>
          <w:sz w:val="20"/>
        </w:rPr>
        <w:t>Po każdej serii obliczono średnią i przedział ufności 95 procent.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28000" cy="32478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3_p4_img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3247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Rysunek 2  Schemat badanego detalu i oznaczenia wymiarów A do H</w:t>
      </w:r>
    </w:p>
    <w:p>
      <w:pPr>
        <w:pStyle w:val="Heading1"/>
        <w:keepNext/>
      </w:pPr>
      <w:r>
        <w:t>4 Dane symulowane</w:t>
      </w:r>
    </w:p>
    <w:p>
      <w:pPr>
        <w:spacing w:after="160"/>
      </w:pPr>
      <w:r>
        <w:rPr>
          <w:rFonts w:ascii="Arial" w:hAnsi="Arial" w:eastAsia="Arial"/>
          <w:b/>
          <w:color w:val="A62B3C"/>
          <w:sz w:val="20"/>
        </w:rPr>
        <w:t xml:space="preserve">Dane symulowane  </w:t>
      </w:r>
      <w:r>
        <w:rPr>
          <w:rFonts w:ascii="Arial" w:hAnsi="Arial" w:eastAsia="Arial"/>
          <w:color w:val="000000"/>
          <w:sz w:val="20"/>
        </w:rPr>
        <w:t>Odczyty zmodyfikowano o niewielkie wartości rzędu 0,01 mm i zachowano rozrzut typowy dla przyjętej rozdzielczości.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>
        <w:trPr>
          <w:cantSplit/>
          <w:tblHeader w:val="true"/>
        </w:trPr>
        <w:tc>
          <w:tcPr>
            <w:tcW w:type="dxa" w:w="425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Lp</w:t>
            </w:r>
          </w:p>
        </w:tc>
        <w:tc>
          <w:tcPr>
            <w:tcW w:type="dxa" w:w="1180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</w:t>
            </w:r>
          </w:p>
        </w:tc>
        <w:tc>
          <w:tcPr>
            <w:tcW w:type="dxa" w:w="1180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B</w:t>
            </w:r>
          </w:p>
        </w:tc>
        <w:tc>
          <w:tcPr>
            <w:tcW w:type="dxa" w:w="1180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</w:t>
            </w:r>
          </w:p>
        </w:tc>
        <w:tc>
          <w:tcPr>
            <w:tcW w:type="dxa" w:w="1180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</w:t>
            </w:r>
          </w:p>
        </w:tc>
        <w:tc>
          <w:tcPr>
            <w:tcW w:type="dxa" w:w="1180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</w:t>
            </w:r>
          </w:p>
        </w:tc>
        <w:tc>
          <w:tcPr>
            <w:tcW w:type="dxa" w:w="1180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</w:t>
            </w:r>
          </w:p>
        </w:tc>
        <w:tc>
          <w:tcPr>
            <w:tcW w:type="dxa" w:w="1180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G</w:t>
            </w:r>
          </w:p>
        </w:tc>
        <w:tc>
          <w:tcPr>
            <w:tcW w:type="dxa" w:w="1180"/>
            <w:shd w:fill="17365D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16,15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23,26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37,30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28,40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12,00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106,63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45,13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45,35</w:t>
            </w:r>
          </w:p>
        </w:tc>
      </w:tr>
      <w:tr>
        <w:trPr>
          <w:cantSplit/>
        </w:trPr>
        <w:tc>
          <w:tcPr>
            <w:tcW w:type="dxa" w:w="425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16,16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23,25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37,31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28,41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12,01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106,64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45,14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45,36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16,15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23,27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37,29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28,40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11,99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106,62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45,12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45,35</w:t>
            </w:r>
          </w:p>
        </w:tc>
      </w:tr>
      <w:tr>
        <w:trPr>
          <w:cantSplit/>
        </w:trPr>
        <w:tc>
          <w:tcPr>
            <w:tcW w:type="dxa" w:w="425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16,14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23,26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37,30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28,39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12,00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106,63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45,13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45,34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16,17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23,26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37,32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28,40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12,01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106,64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45,15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45,35</w:t>
            </w:r>
          </w:p>
        </w:tc>
      </w:tr>
      <w:tr>
        <w:trPr>
          <w:cantSplit/>
        </w:trPr>
        <w:tc>
          <w:tcPr>
            <w:tcW w:type="dxa" w:w="425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16,15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23,24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37,30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28,42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12,00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106,63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45,13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45,37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16,14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23,27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37,29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28,39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11,98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106,61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45,12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45,34</w:t>
            </w:r>
          </w:p>
        </w:tc>
      </w:tr>
      <w:tr>
        <w:trPr>
          <w:cantSplit/>
        </w:trPr>
        <w:tc>
          <w:tcPr>
            <w:tcW w:type="dxa" w:w="425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16,15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23,26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37,30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28,40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12,01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106,63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45,13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45,35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16,16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23,25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37,31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28,41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12,00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106,64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45,14</w:t>
            </w:r>
          </w:p>
        </w:tc>
        <w:tc>
          <w:tcPr>
            <w:tcW w:type="dxa" w:w="1180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45,36</w:t>
            </w:r>
          </w:p>
        </w:tc>
      </w:tr>
      <w:tr>
        <w:trPr>
          <w:cantSplit/>
        </w:trPr>
        <w:tc>
          <w:tcPr>
            <w:tcW w:type="dxa" w:w="425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16,15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23,26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37,30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28,40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11,99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106,63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45,13</w:t>
            </w:r>
          </w:p>
        </w:tc>
        <w:tc>
          <w:tcPr>
            <w:tcW w:type="dxa" w:w="1180"/>
            <w:shd w:fill="F2F7FA"/>
            <w:vAlign w:val="center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45,35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Model statystyczny</w:t>
      </w:r>
    </w:p>
    <w:p>
      <w:pPr>
        <w:widowControl/>
        <w:jc w:val="both"/>
      </w:pPr>
      <w:r>
        <w:t>Dla każdej serii przyjęto dziesięć odczytów. Statystyczną niepewność średniej wyznaczono na podstawie rozrzutu serii. Dla poziomu ufności 95 procent i dziewięciu stopni swobody zastosowano współczynnik t Studenta równy 2,2622.</w:t>
      </w:r>
    </w:p>
    <w:p>
      <w:pPr>
        <w:keepNext/>
        <w:spacing w:before="40" w:after="120"/>
        <w:jc w:val="center"/>
      </w:pPr>
      <m:oMathPara>
        <m:oMathParaPr>
          <m:jc m:val="center"/>
        </m:oMathParaPr>
        <m:oMath>
          <m:acc>
            <m:accPr>
              <m:chr m:val="¯"/>
            </m:accPr>
            <m:e>
              <m:r>
                <m:rPr>
                  <m:nor/>
                </m:rPr>
                <m:t>x</m:t>
              </m:r>
            </m:e>
          </m:acc>
          <m:r>
            <m:rPr>
              <m:nor/>
            </m:rPr>
            <m:t> = </m:t>
          </m:r>
          <m:f>
            <m:num>
              <m:r>
                <m:rPr>
                  <m:nor/>
                </m:rPr>
                <m:t>Σ</m:t>
              </m:r>
              <m:sSub>
                <m:e>
                  <m:r>
                    <m:rPr>
                      <m:nor/>
                    </m:rPr>
                    <m:t>x</m:t>
                  </m:r>
                </m:e>
                <m:sub>
                  <m:r>
                    <m:rPr>
                      <m:nor/>
                    </m:rPr>
                    <m:t>i</m:t>
                  </m:r>
                </m:sub>
              </m:sSub>
            </m:num>
            <m:den>
              <m:r>
                <m:rPr>
                  <m:nor/>
                </m:rPr>
                <m:t>n</m:t>
              </m:r>
            </m:den>
          </m:f>
        </m:oMath>
      </m:oMathPara>
    </w:p>
    <w:p>
      <w:pPr>
        <w:keepNext/>
        <w:spacing w:before="40" w:after="120"/>
        <w:jc w:val="center"/>
      </w:pPr>
      <m:oMathPara>
        <m:oMathParaPr>
          <m:jc m:val="center"/>
        </m:oMathParaPr>
        <m:oMath>
          <m:sSub>
            <m:e>
              <m:r>
                <m:rPr>
                  <m:nor/>
                </m:rPr>
                <m:t>u</m:t>
              </m:r>
            </m:e>
            <m:sub>
              <m:r>
                <m:rPr>
                  <m:nor/>
                </m:rPr>
                <m:t>A</m:t>
              </m:r>
            </m:sub>
          </m:sSub>
          <m:r>
            <m:rPr>
              <m:nor/>
            </m:rPr>
            <m:t> = </m:t>
          </m:r>
          <m:rad>
            <m:radPr>
              <m:degHide m:val="1"/>
            </m:radPr>
            <m:deg/>
            <m:e>
              <m:f>
                <m:num>
                  <m:r>
                    <m:rPr>
                      <m:nor/>
                    </m:rPr>
                    <m:t>Σ(</m:t>
                  </m:r>
                  <m:sSub>
                    <m:e>
                      <m:r>
                        <m:rPr>
                          <m:nor/>
                        </m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i</m:t>
                      </m:r>
                    </m:sub>
                  </m:sSub>
                  <m:r>
                    <m:rPr>
                      <m:nor/>
                    </m:rPr>
                    <m:t> - </m:t>
                  </m:r>
                  <m:acc>
                    <m:accPr>
                      <m:chr m:val="¯"/>
                    </m:accPr>
                    <m:e>
                      <m:r>
                        <m:rPr>
                          <m:nor/>
                        </m:rPr>
                        <m:t>x</m:t>
                      </m:r>
                    </m:e>
                  </m:acc>
                  <m:sSup>
                    <m:e>
                      <m:r>
                        <m:rPr>
                          <m:nor/>
                        </m:rPr>
                        <m:t>)</m:t>
                      </m:r>
                    </m:e>
                    <m:sup>
                      <m:r>
                        <m:rPr>
                          <m:nor/>
                        </m:rPr>
                        <m:t>2</m:t>
                      </m:r>
                    </m:sup>
                  </m:sSup>
                </m:num>
                <m:den>
                  <m:r>
                    <m:rPr>
                      <m:nor/>
                    </m:rPr>
                    <m:t>n(n - 1)</m:t>
                  </m:r>
                </m:den>
              </m:f>
            </m:e>
          </m:rad>
        </m:oMath>
      </m:oMathPara>
    </w:p>
    <w:p>
      <w:pPr>
        <w:keepNext w:val="0"/>
        <w:spacing w:before="40" w:after="120"/>
        <w:jc w:val="center"/>
      </w:pPr>
      <m:oMathPara>
        <m:oMathParaPr>
          <m:jc m:val="center"/>
        </m:oMathParaPr>
        <m:oMath>
          <m:sSub>
            <m:e>
              <m:r>
                <m:rPr>
                  <m:nor/>
                </m:rPr>
                <m:t>U</m:t>
              </m:r>
            </m:e>
            <m:sub>
              <m:r>
                <m:rPr>
                  <m:nor/>
                </m:rPr>
                <m:t>95</m:t>
              </m:r>
            </m:sub>
          </m:sSub>
          <m:r>
            <m:rPr>
              <m:nor/>
            </m:rPr>
            <m:t> = k · </m:t>
          </m:r>
          <m:sSub>
            <m:e>
              <m:r>
                <m:rPr>
                  <m:nor/>
                </m:rPr>
                <m:t>u</m:t>
              </m:r>
            </m:e>
            <m:sub>
              <m:r>
                <m:rPr>
                  <m:nor/>
                </m:rPr>
                <m:t>A</m:t>
              </m:r>
            </m:sub>
          </m:sSub>
        </m:oMath>
      </m:oMathPara>
    </w:p>
    <w:p>
      <w:pPr>
        <w:pStyle w:val="Heading2"/>
        <w:keepNext/>
      </w:pPr>
      <w:r>
        <w:t>Przykład obliczeń seria A</w:t>
      </w:r>
    </w:p>
    <w:p>
      <w:pPr>
        <w:keepNext/>
        <w:spacing w:before="40" w:after="120"/>
        <w:jc w:val="center"/>
      </w:pPr>
      <m:oMathPara>
        <m:oMathParaPr>
          <m:jc m:val="center"/>
        </m:oMathParaPr>
        <m:oMath>
          <m:acc>
            <m:accPr>
              <m:chr m:val="¯"/>
            </m:accPr>
            <m:e>
              <m:r>
                <m:rPr>
                  <m:nor/>
                </m:rPr>
                <m:t>x</m:t>
              </m:r>
            </m:e>
          </m:acc>
          <m:r>
            <m:rPr>
              <m:nor/>
            </m:rPr>
            <m:t> = </m:t>
          </m:r>
          <m:f>
            <m:num>
              <m:r>
                <m:rPr>
                  <m:nor/>
                </m:rPr>
                <m:t>16,15 + 16,16 + 16,15 + 16,14 + 16,17 + 16,15 + 16,14 + 16,15 + 16,16 + 16,15</m:t>
              </m:r>
            </m:num>
            <m:den>
              <m:r>
                <m:rPr>
                  <m:nor/>
                </m:rPr>
                <m:t>10</m:t>
              </m:r>
            </m:den>
          </m:f>
          <m:r>
            <m:rPr>
              <m:nor/>
            </m:rPr>
            <m:t> = 16,1520 mm</m:t>
          </m:r>
        </m:oMath>
      </m:oMathPara>
    </w:p>
    <w:p>
      <w:pPr>
        <w:keepNext/>
        <w:spacing w:before="40" w:after="120"/>
        <w:jc w:val="center"/>
      </w:pPr>
      <m:oMathPara>
        <m:oMathParaPr>
          <m:jc m:val="center"/>
        </m:oMathParaPr>
        <m:oMath>
          <m:sSub>
            <m:e>
              <m:r>
                <m:rPr>
                  <m:nor/>
                </m:rPr>
                <m:t>u</m:t>
              </m:r>
            </m:e>
            <m:sub>
              <m:r>
                <m:rPr>
                  <m:nor/>
                </m:rPr>
                <m:t>A</m:t>
              </m:r>
            </m:sub>
          </m:sSub>
          <m:r>
            <m:rPr>
              <m:nor/>
            </m:rPr>
            <m:t> = </m:t>
          </m:r>
          <m:rad>
            <m:radPr>
              <m:degHide m:val="1"/>
            </m:radPr>
            <m:deg/>
            <m:e>
              <m:f>
                <m:num>
                  <m:r>
                    <m:rPr>
                      <m:nor/>
                    </m:rPr>
                    <m:t>0,0007600</m:t>
                  </m:r>
                </m:num>
                <m:den>
                  <m:r>
                    <m:rPr>
                      <m:nor/>
                    </m:rPr>
                    <m:t>10 · 9</m:t>
                  </m:r>
                </m:den>
              </m:f>
            </m:e>
          </m:rad>
          <m:r>
            <m:rPr>
              <m:nor/>
            </m:rPr>
            <m:t> = 0,002906 mm</m:t>
          </m:r>
        </m:oMath>
      </m:oMathPara>
    </w:p>
    <w:p>
      <w:pPr>
        <w:keepNext/>
        <w:spacing w:before="40" w:after="120"/>
        <w:jc w:val="center"/>
      </w:pPr>
      <m:oMathPara>
        <m:oMathParaPr>
          <m:jc m:val="center"/>
        </m:oMathParaPr>
        <m:oMath>
          <m:sSub>
            <m:e>
              <m:r>
                <m:rPr>
                  <m:nor/>
                </m:rPr>
                <m:t>U</m:t>
              </m:r>
            </m:e>
            <m:sub>
              <m:r>
                <m:rPr>
                  <m:nor/>
                </m:rPr>
                <m:t>95</m:t>
              </m:r>
            </m:sub>
          </m:sSub>
          <m:r>
            <m:rPr>
              <m:nor/>
            </m:rPr>
            <m:t> = 2,2622 · 0,002906 = 0,006574 mm</m:t>
          </m:r>
        </m:oMath>
      </m:oMathPara>
    </w:p>
    <w:p>
      <w:pPr>
        <w:keepNext w:val="0"/>
        <w:spacing w:before="40" w:after="120"/>
        <w:jc w:val="center"/>
      </w:pPr>
      <m:oMathPara>
        <m:oMathParaPr>
          <m:jc m:val="center"/>
        </m:oMathParaPr>
        <m:oMath>
          <m:r>
            <m:rPr>
              <m:nor/>
            </m:rPr>
            <m:t>N = (</m:t>
          </m:r>
          <m:r>
            <m:rPr>
              <m:nor/>
            </m:rPr>
            <m:t>16,1520</m:t>
          </m:r>
          <m:r>
            <m:rPr>
              <m:nor/>
            </m:rPr>
            <m:t> ± </m:t>
          </m:r>
          <m:r>
            <m:rPr>
              <m:nor/>
            </m:rPr>
            <m:t>0,006574</m:t>
          </m:r>
          <m:r>
            <m:rPr>
              <m:nor/>
            </m:rPr>
            <m:t>) mm</m:t>
          </m:r>
        </m:oMath>
      </m:oMathPara>
    </w:p>
    <w:p>
      <w:pPr>
        <w:pStyle w:val="Heading1"/>
        <w:keepNext/>
      </w:pPr>
      <w:r>
        <w:t>5 Zestawienie obliczeń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cantSplit/>
          <w:tblHeader w:val="true"/>
        </w:trPr>
        <w:tc>
          <w:tcPr>
            <w:tcW w:type="dxa" w:w="850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Wymiar</w:t>
            </w:r>
          </w:p>
        </w:tc>
        <w:tc>
          <w:tcPr>
            <w:tcW w:type="dxa" w:w="567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n</w:t>
            </w:r>
          </w:p>
        </w:tc>
        <w:tc>
          <w:tcPr>
            <w:tcW w:type="dxa" w:w="1417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Średnia mm</w:t>
            </w:r>
          </w:p>
        </w:tc>
        <w:tc>
          <w:tcPr>
            <w:tcW w:type="dxa" w:w="1191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uA mm</w:t>
            </w:r>
          </w:p>
        </w:tc>
        <w:tc>
          <w:tcPr>
            <w:tcW w:type="dxa" w:w="1191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U95 mm</w:t>
            </w:r>
          </w:p>
        </w:tc>
        <w:tc>
          <w:tcPr>
            <w:tcW w:type="dxa" w:w="4535"/>
            <w:shd w:fill="0F7C83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Przedział 95 procent mm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16,152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0,00291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0,00657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16,14543 do 16,15857</w:t>
            </w:r>
          </w:p>
        </w:tc>
      </w:tr>
      <w:tr>
        <w:trPr>
          <w:cantSplit/>
        </w:trPr>
        <w:tc>
          <w:tcPr>
            <w:tcW w:type="dxa" w:w="850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B</w:t>
            </w:r>
          </w:p>
        </w:tc>
        <w:tc>
          <w:tcPr>
            <w:tcW w:type="dxa" w:w="56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23,258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0,00291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0,00657</w:t>
            </w:r>
          </w:p>
        </w:tc>
        <w:tc>
          <w:tcPr>
            <w:tcW w:type="dxa" w:w="4535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23,25143 do 23,26457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37,302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0,00291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0,00657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37,29543 do 37,30857</w:t>
            </w:r>
          </w:p>
        </w:tc>
      </w:tr>
      <w:tr>
        <w:trPr>
          <w:cantSplit/>
        </w:trPr>
        <w:tc>
          <w:tcPr>
            <w:tcW w:type="dxa" w:w="850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</w:t>
            </w:r>
          </w:p>
        </w:tc>
        <w:tc>
          <w:tcPr>
            <w:tcW w:type="dxa" w:w="56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28,402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0,00291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0,00657</w:t>
            </w:r>
          </w:p>
        </w:tc>
        <w:tc>
          <w:tcPr>
            <w:tcW w:type="dxa" w:w="4535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28,39543 do 28,40857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E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11,999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0,00314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0,00711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11,99189 do 12,00611</w:t>
            </w:r>
          </w:p>
        </w:tc>
      </w:tr>
      <w:tr>
        <w:trPr>
          <w:cantSplit/>
        </w:trPr>
        <w:tc>
          <w:tcPr>
            <w:tcW w:type="dxa" w:w="850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F</w:t>
            </w:r>
          </w:p>
        </w:tc>
        <w:tc>
          <w:tcPr>
            <w:tcW w:type="dxa" w:w="56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106,630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0,00298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0,00674</w:t>
            </w:r>
          </w:p>
        </w:tc>
        <w:tc>
          <w:tcPr>
            <w:tcW w:type="dxa" w:w="4535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106,62326 do 106,63674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G</w:t>
            </w:r>
          </w:p>
        </w:tc>
        <w:tc>
          <w:tcPr>
            <w:tcW w:type="dxa" w:w="56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45,132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0,00291</w:t>
            </w:r>
          </w:p>
        </w:tc>
        <w:tc>
          <w:tcPr>
            <w:tcW w:type="dxa" w:w="119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0,00657</w:t>
            </w:r>
          </w:p>
        </w:tc>
        <w:tc>
          <w:tcPr>
            <w:tcW w:type="dxa" w:w="453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45,12543 do 45,13857</w:t>
            </w:r>
          </w:p>
        </w:tc>
      </w:tr>
      <w:tr>
        <w:trPr>
          <w:cantSplit/>
        </w:trPr>
        <w:tc>
          <w:tcPr>
            <w:tcW w:type="dxa" w:w="850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H</w:t>
            </w:r>
          </w:p>
        </w:tc>
        <w:tc>
          <w:tcPr>
            <w:tcW w:type="dxa" w:w="56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417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45,352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0,00291</w:t>
            </w:r>
          </w:p>
        </w:tc>
        <w:tc>
          <w:tcPr>
            <w:tcW w:type="dxa" w:w="1191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0,00657</w:t>
            </w:r>
          </w:p>
        </w:tc>
        <w:tc>
          <w:tcPr>
            <w:tcW w:type="dxa" w:w="4535"/>
            <w:shd w:fill="F2F7FA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45,34543 do 45,35857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6 Wnioski</w:t>
      </w:r>
    </w:p>
    <w:p>
      <w:pPr>
        <w:widowControl/>
        <w:jc w:val="both"/>
      </w:pPr>
      <w:r>
        <w:t>Przykładowe serie pokazują wysoką powtarzalność pomiarów mikrometrem. Zmiany mieszczą się w zakresie kilku setnych milimetra, a przedziały ufności średnich są wąskie. Ostateczna jakość rzeczywistego wyniku zależy jednak od warunków termicznych, stanu powierzchni pomiarowych, kontroli zera, ustawienia detalu i sposobu użycia sprzęgiełka.</w:t>
      </w:r>
    </w:p>
    <w:p>
      <w:pPr>
        <w:pStyle w:val="Heading1"/>
        <w:keepNext/>
      </w:pPr>
      <w:r>
        <w:t>7 Literatura i materiały</w:t>
      </w:r>
    </w:p>
    <w:p>
      <w:pPr>
        <w:pStyle w:val="ListNumber"/>
        <w:spacing w:after="60"/>
      </w:pPr>
      <w:r>
        <w:rPr>
          <w:rFonts w:ascii="Arial" w:hAnsi="Arial" w:eastAsia="Arial"/>
          <w:color w:val="000000"/>
          <w:sz w:val="18"/>
        </w:rPr>
        <w:t>PN 71 N 02050 Metrologia nazwy i określenia</w:t>
      </w:r>
    </w:p>
    <w:p>
      <w:pPr>
        <w:pStyle w:val="ListNumber"/>
        <w:spacing w:after="60"/>
      </w:pPr>
      <w:r>
        <w:rPr>
          <w:rFonts w:ascii="Arial" w:hAnsi="Arial" w:eastAsia="Arial"/>
          <w:color w:val="000000"/>
          <w:sz w:val="18"/>
        </w:rPr>
        <w:t>Materiały dydaktyczne Uniwersytetu Jagiellońskiego i Politechniki Warszawskiej dotyczące śruby mikrometrycznej</w:t>
      </w:r>
    </w:p>
    <w:p>
      <w:pPr>
        <w:pStyle w:val="ListNumber"/>
        <w:spacing w:after="60"/>
      </w:pPr>
      <w:r>
        <w:rPr>
          <w:rFonts w:ascii="Arial" w:hAnsi="Arial" w:eastAsia="Arial"/>
          <w:color w:val="000000"/>
          <w:sz w:val="18"/>
        </w:rPr>
        <w:t>Katalog przyrządów LIMIT oraz autorskie notatki z laboratorium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020" w:right="907" w:bottom="964" w:left="907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rial" w:hAnsi="Arial" w:eastAsia="Arial"/>
        <w:color w:val="646464"/>
        <w:sz w:val="15"/>
      </w:rPr>
      <w:t xml:space="preserve">Przykład dydaktyczny   |   </w:t>
    </w:r>
    <w:r>
      <w:rPr>
        <w:rFonts w:ascii="Arial" w:hAnsi="Arial" w:eastAsia="Arial"/>
        <w:color w:val="646464"/>
        <w:sz w:val="15"/>
      </w:rPr>
      <w:t xml:space="preserve">Strona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979" w:val="right"/>
      </w:tabs>
      <w:spacing w:after="40"/>
      <w:jc w:val="left"/>
    </w:pPr>
    <w:r>
      <w:rPr>
        <w:rFonts w:ascii="Arial" w:hAnsi="Arial" w:eastAsia="Arial"/>
        <w:b/>
        <w:color w:val="1E1E1E"/>
        <w:sz w:val="16"/>
      </w:rPr>
      <w:t>Mikrometr zewnętrzny</w:t>
    </w:r>
    <w:r>
      <w:rPr>
        <w:rFonts w:ascii="Arial" w:hAnsi="Arial" w:eastAsia="Arial"/>
        <w:b/>
        <w:color w:val="A62B3C"/>
        <w:sz w:val="16"/>
      </w:rPr>
      <w:tab/>
      <w:t>DANE SYMULOWANE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  <w:jc w:val="center"/>
    </w:pPr>
    <w:rPr>
      <w:rFonts w:ascii="Arial" w:hAnsi="Arial"/>
      <w:b/>
      <w:bCs/>
      <w:i/>
      <w:color w:val="5A5A5A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Pomiary mikrometrem zewnętrznym</dc:title>
  <dc:subject>Edytowalne sprawozdanie z oznaczonymi danymi symulowanymi</dc:subject>
  <dc:creator>Wiktor Złotnik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