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F4" w:rsidRDefault="00EF41F4" w:rsidP="00EF41F4">
      <w:r>
        <w:rPr>
          <w:rFonts w:hint="eastAsia"/>
        </w:rPr>
        <w:t>安全保障页面：</w:t>
      </w:r>
    </w:p>
    <w:p w:rsidR="00EF41F4" w:rsidRDefault="00EF41F4" w:rsidP="00EF41F4"/>
    <w:p w:rsidR="00EF41F4" w:rsidRDefault="00EF41F4" w:rsidP="00EF41F4">
      <w:r>
        <w:rPr>
          <w:rFonts w:hint="eastAsia"/>
        </w:rPr>
        <w:t>Banner</w:t>
      </w:r>
      <w:r>
        <w:rPr>
          <w:rFonts w:hint="eastAsia"/>
        </w:rPr>
        <w:t>：风险控制无上限，安全之路有保障</w:t>
      </w:r>
    </w:p>
    <w:p w:rsidR="00EF41F4" w:rsidRDefault="00EF41F4" w:rsidP="00EF41F4">
      <w:r>
        <w:rPr>
          <w:rFonts w:hint="eastAsia"/>
        </w:rPr>
        <w:t xml:space="preserve">        </w:t>
      </w:r>
    </w:p>
    <w:p w:rsidR="00EF41F4" w:rsidRDefault="00EF41F4" w:rsidP="00EF41F4">
      <w:pPr>
        <w:rPr>
          <w:b/>
          <w:bCs/>
        </w:rPr>
      </w:pPr>
    </w:p>
    <w:p w:rsidR="00EF41F4" w:rsidRDefault="00EF41F4" w:rsidP="00EF41F4">
      <w:pPr>
        <w:numPr>
          <w:ilvl w:val="0"/>
          <w:numId w:val="1"/>
        </w:numPr>
        <w:rPr>
          <w:b/>
          <w:bCs/>
          <w:sz w:val="28"/>
          <w:szCs w:val="28"/>
        </w:rPr>
      </w:pPr>
      <w:r>
        <w:rPr>
          <w:rFonts w:hint="eastAsia"/>
          <w:b/>
          <w:bCs/>
          <w:sz w:val="28"/>
          <w:szCs w:val="28"/>
        </w:rPr>
        <w:t>合规运营</w:t>
      </w:r>
    </w:p>
    <w:p w:rsidR="00EF41F4" w:rsidRDefault="00EF41F4" w:rsidP="00EF41F4">
      <w:pPr>
        <w:jc w:val="left"/>
      </w:pPr>
    </w:p>
    <w:p w:rsidR="00EF41F4" w:rsidRDefault="00EF41F4" w:rsidP="00EF41F4">
      <w:pPr>
        <w:jc w:val="left"/>
      </w:pPr>
      <w:r>
        <w:rPr>
          <w:rFonts w:hint="eastAsia"/>
        </w:rPr>
        <w:t>鑫路金融一直秉承合规发展的原则，严格遵守各项法律法规及政策条款，为借贷双方提供专业的居间撮合服务，借贷交易真实合法，项目披露尽职合规，让投资者安心。</w:t>
      </w:r>
    </w:p>
    <w:p w:rsidR="00EF41F4" w:rsidRDefault="00EF41F4" w:rsidP="00EF41F4">
      <w:pPr>
        <w:jc w:val="center"/>
      </w:pPr>
    </w:p>
    <w:tbl>
      <w:tblPr>
        <w:tblStyle w:val="a5"/>
        <w:tblW w:w="8522" w:type="dxa"/>
        <w:tblLayout w:type="fixed"/>
        <w:tblLook w:val="04A0" w:firstRow="1" w:lastRow="0" w:firstColumn="1" w:lastColumn="0" w:noHBand="0" w:noVBand="1"/>
      </w:tblPr>
      <w:tblGrid>
        <w:gridCol w:w="2840"/>
        <w:gridCol w:w="2841"/>
        <w:gridCol w:w="2841"/>
      </w:tblGrid>
      <w:tr w:rsidR="00EF41F4" w:rsidTr="00DD5F5B">
        <w:tc>
          <w:tcPr>
            <w:tcW w:w="2840" w:type="dxa"/>
          </w:tcPr>
          <w:p w:rsidR="00EF41F4" w:rsidRDefault="00EF41F4" w:rsidP="00DD5F5B">
            <w:pPr>
              <w:jc w:val="center"/>
            </w:pPr>
            <w:r>
              <w:rPr>
                <w:rFonts w:hint="eastAsia"/>
              </w:rPr>
              <w:t>2017</w:t>
            </w:r>
            <w:r>
              <w:rPr>
                <w:rFonts w:hint="eastAsia"/>
              </w:rPr>
              <w:t>年</w:t>
            </w:r>
            <w:r>
              <w:rPr>
                <w:rFonts w:hint="eastAsia"/>
              </w:rPr>
              <w:t>11</w:t>
            </w:r>
            <w:r>
              <w:rPr>
                <w:rFonts w:hint="eastAsia"/>
              </w:rPr>
              <w:t>月</w:t>
            </w:r>
            <w:r>
              <w:rPr>
                <w:rFonts w:hint="eastAsia"/>
              </w:rPr>
              <w:t>15</w:t>
            </w:r>
            <w:r>
              <w:rPr>
                <w:rFonts w:hint="eastAsia"/>
              </w:rPr>
              <w:t>日成立至今</w:t>
            </w:r>
          </w:p>
        </w:tc>
        <w:tc>
          <w:tcPr>
            <w:tcW w:w="2841" w:type="dxa"/>
          </w:tcPr>
          <w:p w:rsidR="00EF41F4" w:rsidRDefault="00EF41F4" w:rsidP="00DD5F5B">
            <w:pPr>
              <w:jc w:val="center"/>
            </w:pPr>
            <w:r>
              <w:rPr>
                <w:rFonts w:hint="eastAsia"/>
              </w:rPr>
              <w:t>全力保障</w:t>
            </w:r>
          </w:p>
        </w:tc>
        <w:tc>
          <w:tcPr>
            <w:tcW w:w="2841" w:type="dxa"/>
          </w:tcPr>
          <w:p w:rsidR="00EF41F4" w:rsidRDefault="00EF41F4" w:rsidP="00DD5F5B">
            <w:pPr>
              <w:jc w:val="center"/>
            </w:pPr>
            <w:r>
              <w:rPr>
                <w:rFonts w:hint="eastAsia"/>
              </w:rPr>
              <w:t>累计为投资人带来</w:t>
            </w:r>
          </w:p>
        </w:tc>
      </w:tr>
      <w:tr w:rsidR="00EF41F4" w:rsidTr="00DD5F5B">
        <w:tc>
          <w:tcPr>
            <w:tcW w:w="2840" w:type="dxa"/>
          </w:tcPr>
          <w:p w:rsidR="00EF41F4" w:rsidRDefault="00EF41F4" w:rsidP="00DD5F5B">
            <w:pPr>
              <w:jc w:val="center"/>
            </w:pPr>
            <w:r>
              <w:rPr>
                <w:rFonts w:hint="eastAsia"/>
              </w:rPr>
              <w:t>安全运营</w:t>
            </w:r>
            <w:r>
              <w:rPr>
                <w:rFonts w:hint="eastAsia"/>
              </w:rPr>
              <w:t xml:space="preserve"> X</w:t>
            </w:r>
            <w:r>
              <w:rPr>
                <w:rFonts w:hint="eastAsia"/>
              </w:rPr>
              <w:t>天</w:t>
            </w:r>
          </w:p>
        </w:tc>
        <w:tc>
          <w:tcPr>
            <w:tcW w:w="2841" w:type="dxa"/>
          </w:tcPr>
          <w:p w:rsidR="00EF41F4" w:rsidRDefault="00EF41F4" w:rsidP="00DD5F5B">
            <w:pPr>
              <w:jc w:val="center"/>
            </w:pPr>
            <w:r>
              <w:rPr>
                <w:rFonts w:hint="eastAsia"/>
              </w:rPr>
              <w:t>X</w:t>
            </w:r>
            <w:r>
              <w:rPr>
                <w:rFonts w:hint="eastAsia"/>
              </w:rPr>
              <w:t>位投资人资金安全</w:t>
            </w:r>
          </w:p>
        </w:tc>
        <w:tc>
          <w:tcPr>
            <w:tcW w:w="2841" w:type="dxa"/>
          </w:tcPr>
          <w:p w:rsidR="00EF41F4" w:rsidRDefault="00EF41F4" w:rsidP="00DD5F5B">
            <w:pPr>
              <w:jc w:val="center"/>
            </w:pPr>
            <w:r>
              <w:rPr>
                <w:rFonts w:hint="eastAsia"/>
              </w:rPr>
              <w:t>X</w:t>
            </w:r>
            <w:r>
              <w:rPr>
                <w:rFonts w:hint="eastAsia"/>
              </w:rPr>
              <w:t>元理财收益</w:t>
            </w:r>
          </w:p>
        </w:tc>
      </w:tr>
    </w:tbl>
    <w:p w:rsidR="00EF41F4" w:rsidRDefault="00EF41F4" w:rsidP="00EF41F4"/>
    <w:p w:rsidR="00EF41F4" w:rsidRDefault="00EF41F4" w:rsidP="00EF41F4">
      <w:r>
        <w:rPr>
          <w:rFonts w:hint="eastAsia"/>
        </w:rPr>
        <w:t>资质齐全</w:t>
      </w:r>
    </w:p>
    <w:tbl>
      <w:tblPr>
        <w:tblStyle w:val="a5"/>
        <w:tblW w:w="8522" w:type="dxa"/>
        <w:tblLayout w:type="fixed"/>
        <w:tblLook w:val="04A0" w:firstRow="1" w:lastRow="0" w:firstColumn="1" w:lastColumn="0" w:noHBand="0" w:noVBand="1"/>
      </w:tblPr>
      <w:tblGrid>
        <w:gridCol w:w="1704"/>
        <w:gridCol w:w="1704"/>
        <w:gridCol w:w="1704"/>
        <w:gridCol w:w="1705"/>
        <w:gridCol w:w="1705"/>
      </w:tblGrid>
      <w:tr w:rsidR="00EF41F4" w:rsidTr="00DD5F5B">
        <w:tc>
          <w:tcPr>
            <w:tcW w:w="1704" w:type="dxa"/>
          </w:tcPr>
          <w:p w:rsidR="00EF41F4" w:rsidRDefault="00EF41F4" w:rsidP="00DD5F5B">
            <w:r>
              <w:rPr>
                <w:rFonts w:hint="eastAsia"/>
              </w:rPr>
              <w:t>营业执照图</w:t>
            </w:r>
          </w:p>
        </w:tc>
        <w:tc>
          <w:tcPr>
            <w:tcW w:w="1704" w:type="dxa"/>
          </w:tcPr>
          <w:p w:rsidR="00EF41F4" w:rsidRDefault="00EF41F4" w:rsidP="00DD5F5B">
            <w:r>
              <w:rPr>
                <w:rFonts w:hint="eastAsia"/>
              </w:rPr>
              <w:t>ICP</w:t>
            </w:r>
            <w:r>
              <w:rPr>
                <w:rFonts w:hint="eastAsia"/>
              </w:rPr>
              <w:t>认证图</w:t>
            </w:r>
          </w:p>
        </w:tc>
        <w:tc>
          <w:tcPr>
            <w:tcW w:w="1704" w:type="dxa"/>
          </w:tcPr>
          <w:p w:rsidR="00EF41F4" w:rsidRDefault="00EF41F4" w:rsidP="00DD5F5B">
            <w:r>
              <w:rPr>
                <w:rFonts w:hint="eastAsia"/>
              </w:rPr>
              <w:t>软著图</w:t>
            </w:r>
          </w:p>
        </w:tc>
        <w:tc>
          <w:tcPr>
            <w:tcW w:w="1705" w:type="dxa"/>
          </w:tcPr>
          <w:p w:rsidR="00EF41F4" w:rsidRDefault="00EF41F4" w:rsidP="00DD5F5B">
            <w:r>
              <w:rPr>
                <w:rFonts w:hint="eastAsia"/>
              </w:rPr>
              <w:t>诚信网站图</w:t>
            </w:r>
          </w:p>
        </w:tc>
        <w:tc>
          <w:tcPr>
            <w:tcW w:w="1705" w:type="dxa"/>
          </w:tcPr>
          <w:p w:rsidR="00EF41F4" w:rsidRDefault="00EF41F4" w:rsidP="00DD5F5B">
            <w:r>
              <w:rPr>
                <w:rFonts w:hint="eastAsia"/>
              </w:rPr>
              <w:t>安全联盟图</w:t>
            </w:r>
          </w:p>
        </w:tc>
      </w:tr>
    </w:tbl>
    <w:p w:rsidR="00EF41F4" w:rsidRDefault="00EF41F4" w:rsidP="00EF41F4"/>
    <w:p w:rsidR="00EF41F4" w:rsidRDefault="00EF41F4" w:rsidP="00EF41F4">
      <w:r>
        <w:rPr>
          <w:rFonts w:hint="eastAsia"/>
        </w:rPr>
        <w:t>诚信经营</w:t>
      </w:r>
    </w:p>
    <w:tbl>
      <w:tblPr>
        <w:tblStyle w:val="a5"/>
        <w:tblW w:w="8522" w:type="dxa"/>
        <w:tblLayout w:type="fixed"/>
        <w:tblLook w:val="04A0" w:firstRow="1" w:lastRow="0" w:firstColumn="1" w:lastColumn="0" w:noHBand="0" w:noVBand="1"/>
      </w:tblPr>
      <w:tblGrid>
        <w:gridCol w:w="2840"/>
        <w:gridCol w:w="2841"/>
        <w:gridCol w:w="2841"/>
      </w:tblGrid>
      <w:tr w:rsidR="00EF41F4" w:rsidTr="00DD5F5B">
        <w:tc>
          <w:tcPr>
            <w:tcW w:w="2840" w:type="dxa"/>
          </w:tcPr>
          <w:p w:rsidR="00EF41F4" w:rsidRDefault="00EF41F4" w:rsidP="00DD5F5B">
            <w:pPr>
              <w:rPr>
                <w:b/>
                <w:bCs/>
              </w:rPr>
            </w:pPr>
            <w:r>
              <w:rPr>
                <w:rFonts w:hint="eastAsia"/>
                <w:b/>
                <w:bCs/>
              </w:rPr>
              <w:t>成立至今</w:t>
            </w:r>
            <w:r>
              <w:rPr>
                <w:rFonts w:hint="eastAsia"/>
                <w:b/>
                <w:bCs/>
              </w:rPr>
              <w:t>100%</w:t>
            </w:r>
            <w:r>
              <w:rPr>
                <w:rFonts w:hint="eastAsia"/>
                <w:b/>
                <w:bCs/>
              </w:rPr>
              <w:t>如约兑付</w:t>
            </w:r>
          </w:p>
        </w:tc>
        <w:tc>
          <w:tcPr>
            <w:tcW w:w="2841" w:type="dxa"/>
          </w:tcPr>
          <w:p w:rsidR="00EF41F4" w:rsidRDefault="00EF41F4" w:rsidP="00DD5F5B">
            <w:pPr>
              <w:rPr>
                <w:b/>
                <w:bCs/>
              </w:rPr>
            </w:pPr>
            <w:r>
              <w:rPr>
                <w:rFonts w:hint="eastAsia"/>
                <w:b/>
                <w:bCs/>
              </w:rPr>
              <w:t>电子合同具备法律效力</w:t>
            </w:r>
          </w:p>
        </w:tc>
        <w:tc>
          <w:tcPr>
            <w:tcW w:w="2841" w:type="dxa"/>
          </w:tcPr>
          <w:p w:rsidR="00EF41F4" w:rsidRDefault="00EF41F4" w:rsidP="00DD5F5B">
            <w:pPr>
              <w:rPr>
                <w:b/>
                <w:bCs/>
              </w:rPr>
            </w:pPr>
            <w:r>
              <w:rPr>
                <w:rFonts w:hint="eastAsia"/>
                <w:b/>
                <w:bCs/>
              </w:rPr>
              <w:t>利率市场化</w:t>
            </w:r>
          </w:p>
        </w:tc>
      </w:tr>
      <w:tr w:rsidR="00EF41F4" w:rsidTr="00DD5F5B">
        <w:trPr>
          <w:trHeight w:val="726"/>
        </w:trPr>
        <w:tc>
          <w:tcPr>
            <w:tcW w:w="2840" w:type="dxa"/>
          </w:tcPr>
          <w:p w:rsidR="00EF41F4" w:rsidRDefault="00EF41F4" w:rsidP="00DD5F5B">
            <w:r>
              <w:rPr>
                <w:rFonts w:hint="eastAsia"/>
              </w:rPr>
              <w:t>自</w:t>
            </w:r>
            <w:r>
              <w:rPr>
                <w:rFonts w:hint="eastAsia"/>
              </w:rPr>
              <w:t>2017</w:t>
            </w:r>
            <w:r>
              <w:rPr>
                <w:rFonts w:hint="eastAsia"/>
              </w:rPr>
              <w:t>年</w:t>
            </w:r>
            <w:r>
              <w:rPr>
                <w:rFonts w:hint="eastAsia"/>
              </w:rPr>
              <w:t>11</w:t>
            </w:r>
            <w:r>
              <w:rPr>
                <w:rFonts w:hint="eastAsia"/>
              </w:rPr>
              <w:t>月上线以来，，形成</w:t>
            </w:r>
            <w:r>
              <w:rPr>
                <w:rFonts w:hint="eastAsia"/>
              </w:rPr>
              <w:t xml:space="preserve"> X </w:t>
            </w:r>
            <w:r>
              <w:rPr>
                <w:rFonts w:hint="eastAsia"/>
              </w:rPr>
              <w:t>笔投资订单，</w:t>
            </w:r>
            <w:r>
              <w:rPr>
                <w:rFonts w:hint="eastAsia"/>
              </w:rPr>
              <w:t>100%</w:t>
            </w:r>
            <w:r>
              <w:rPr>
                <w:rFonts w:hint="eastAsia"/>
              </w:rPr>
              <w:t>如约兑付</w:t>
            </w:r>
          </w:p>
        </w:tc>
        <w:tc>
          <w:tcPr>
            <w:tcW w:w="2841" w:type="dxa"/>
          </w:tcPr>
          <w:p w:rsidR="00EF41F4" w:rsidRDefault="00EF41F4" w:rsidP="00DD5F5B">
            <w:r>
              <w:rPr>
                <w:rFonts w:hint="eastAsia"/>
              </w:rPr>
              <w:t>复审通过后，自动生成借款协议，并加盖电子签章（</w:t>
            </w:r>
            <w:r>
              <w:rPr>
                <w:rFonts w:hint="eastAsia"/>
              </w:rPr>
              <w:t>e</w:t>
            </w:r>
            <w:r>
              <w:rPr>
                <w:rFonts w:hint="eastAsia"/>
              </w:rPr>
              <w:t>签宝），具备传统合同法律效力</w:t>
            </w:r>
          </w:p>
        </w:tc>
        <w:tc>
          <w:tcPr>
            <w:tcW w:w="2841" w:type="dxa"/>
          </w:tcPr>
          <w:p w:rsidR="00EF41F4" w:rsidRDefault="00EF41F4" w:rsidP="00DD5F5B">
            <w:r>
              <w:rPr>
                <w:rFonts w:hint="eastAsia"/>
              </w:rPr>
              <w:t>鑫路金融平台预期利率符合市场化</w:t>
            </w:r>
          </w:p>
        </w:tc>
      </w:tr>
    </w:tbl>
    <w:p w:rsidR="007348F4" w:rsidRDefault="007348F4"/>
    <w:p w:rsidR="00EF41F4" w:rsidRDefault="00EF41F4" w:rsidP="00EF41F4">
      <w:pPr>
        <w:numPr>
          <w:ilvl w:val="0"/>
          <w:numId w:val="1"/>
        </w:numPr>
        <w:rPr>
          <w:b/>
          <w:bCs/>
          <w:sz w:val="28"/>
          <w:szCs w:val="28"/>
        </w:rPr>
      </w:pPr>
      <w:r>
        <w:rPr>
          <w:rFonts w:hint="eastAsia"/>
          <w:b/>
          <w:bCs/>
          <w:sz w:val="28"/>
          <w:szCs w:val="28"/>
        </w:rPr>
        <w:t>项目保障</w:t>
      </w:r>
    </w:p>
    <w:p w:rsidR="00EF41F4" w:rsidRDefault="00EF41F4" w:rsidP="00EF41F4"/>
    <w:tbl>
      <w:tblPr>
        <w:tblStyle w:val="a5"/>
        <w:tblW w:w="8522" w:type="dxa"/>
        <w:tblLayout w:type="fixed"/>
        <w:tblLook w:val="04A0" w:firstRow="1" w:lastRow="0" w:firstColumn="1" w:lastColumn="0" w:noHBand="0" w:noVBand="1"/>
      </w:tblPr>
      <w:tblGrid>
        <w:gridCol w:w="2499"/>
        <w:gridCol w:w="6023"/>
      </w:tblGrid>
      <w:tr w:rsidR="00EF41F4" w:rsidTr="00DD5F5B">
        <w:tc>
          <w:tcPr>
            <w:tcW w:w="2499" w:type="dxa"/>
            <w:vMerge w:val="restart"/>
          </w:tcPr>
          <w:p w:rsidR="00EF41F4" w:rsidRDefault="00EF41F4" w:rsidP="00DD5F5B"/>
          <w:p w:rsidR="00EF41F4" w:rsidRDefault="00EF41F4" w:rsidP="00DD5F5B">
            <w:pPr>
              <w:ind w:firstLine="537"/>
              <w:jc w:val="left"/>
            </w:pPr>
            <w:r>
              <w:rPr>
                <w:rFonts w:hint="eastAsia"/>
              </w:rPr>
              <w:t>4</w:t>
            </w:r>
            <w:r>
              <w:t>大</w:t>
            </w:r>
            <w:r>
              <w:rPr>
                <w:rFonts w:hint="eastAsia"/>
              </w:rPr>
              <w:t>保障</w:t>
            </w:r>
          </w:p>
        </w:tc>
        <w:tc>
          <w:tcPr>
            <w:tcW w:w="6023" w:type="dxa"/>
          </w:tcPr>
          <w:p w:rsidR="00EF41F4" w:rsidRDefault="00EF41F4" w:rsidP="00DD5F5B">
            <w:r>
              <w:rPr>
                <w:rFonts w:hint="eastAsia"/>
                <w:b/>
                <w:bCs/>
              </w:rPr>
              <w:t>精挑细选优质资产</w:t>
            </w:r>
          </w:p>
        </w:tc>
      </w:tr>
      <w:tr w:rsidR="00EF41F4" w:rsidTr="00DD5F5B">
        <w:tc>
          <w:tcPr>
            <w:tcW w:w="2499" w:type="dxa"/>
            <w:vMerge/>
          </w:tcPr>
          <w:p w:rsidR="00EF41F4" w:rsidRDefault="00EF41F4" w:rsidP="00DD5F5B"/>
        </w:tc>
        <w:tc>
          <w:tcPr>
            <w:tcW w:w="6023" w:type="dxa"/>
          </w:tcPr>
          <w:p w:rsidR="00EF41F4" w:rsidRDefault="00EF41F4" w:rsidP="00DD5F5B">
            <w:r>
              <w:rPr>
                <w:rFonts w:hint="eastAsia"/>
              </w:rPr>
              <w:t>我们精挑细选，只</w:t>
            </w:r>
            <w:r>
              <w:t>为用户</w:t>
            </w:r>
            <w:r>
              <w:rPr>
                <w:rFonts w:hint="eastAsia"/>
              </w:rPr>
              <w:t>选择最优质的资产，从源头上保证资产必须是</w:t>
            </w:r>
            <w:r>
              <w:t>安全稳健</w:t>
            </w:r>
            <w:r>
              <w:rPr>
                <w:rFonts w:hint="eastAsia"/>
              </w:rPr>
              <w:t>的。</w:t>
            </w:r>
          </w:p>
        </w:tc>
      </w:tr>
      <w:tr w:rsidR="00EF41F4" w:rsidTr="00DD5F5B">
        <w:tc>
          <w:tcPr>
            <w:tcW w:w="2499" w:type="dxa"/>
            <w:vMerge/>
          </w:tcPr>
          <w:p w:rsidR="00EF41F4" w:rsidRDefault="00EF41F4" w:rsidP="00DD5F5B"/>
        </w:tc>
        <w:tc>
          <w:tcPr>
            <w:tcW w:w="6023" w:type="dxa"/>
          </w:tcPr>
          <w:p w:rsidR="00EF41F4" w:rsidRDefault="00EF41F4" w:rsidP="00DD5F5B">
            <w:r>
              <w:rPr>
                <w:rFonts w:hint="eastAsia"/>
                <w:b/>
                <w:bCs/>
              </w:rPr>
              <w:t>小微信贷分散风险</w:t>
            </w:r>
          </w:p>
        </w:tc>
      </w:tr>
      <w:tr w:rsidR="00EF41F4" w:rsidTr="00DD5F5B">
        <w:tc>
          <w:tcPr>
            <w:tcW w:w="2499" w:type="dxa"/>
            <w:vMerge/>
          </w:tcPr>
          <w:p w:rsidR="00EF41F4" w:rsidRDefault="00EF41F4" w:rsidP="00DD5F5B"/>
        </w:tc>
        <w:tc>
          <w:tcPr>
            <w:tcW w:w="6023" w:type="dxa"/>
          </w:tcPr>
          <w:p w:rsidR="00EF41F4" w:rsidRDefault="00EF41F4" w:rsidP="00DD5F5B">
            <w:r>
              <w:rPr>
                <w:rFonts w:hint="eastAsia"/>
              </w:rPr>
              <w:t>所有个人消费和小微经营需求的小额信贷交易撮合，笔均借款金额不超过</w:t>
            </w:r>
            <w:r>
              <w:rPr>
                <w:rFonts w:hint="eastAsia"/>
              </w:rPr>
              <w:t>1</w:t>
            </w:r>
            <w:r>
              <w:rPr>
                <w:rFonts w:hint="eastAsia"/>
              </w:rPr>
              <w:t>万元，通过小额分散降低违约关联性，控制集中</w:t>
            </w:r>
            <w:r>
              <w:t>性</w:t>
            </w:r>
            <w:r>
              <w:rPr>
                <w:rFonts w:hint="eastAsia"/>
              </w:rPr>
              <w:t>风险。</w:t>
            </w:r>
          </w:p>
        </w:tc>
      </w:tr>
      <w:tr w:rsidR="00EF41F4" w:rsidTr="00DD5F5B">
        <w:tc>
          <w:tcPr>
            <w:tcW w:w="2499" w:type="dxa"/>
            <w:vMerge/>
          </w:tcPr>
          <w:p w:rsidR="00EF41F4" w:rsidRDefault="00EF41F4" w:rsidP="00DD5F5B"/>
        </w:tc>
        <w:tc>
          <w:tcPr>
            <w:tcW w:w="6023" w:type="dxa"/>
          </w:tcPr>
          <w:p w:rsidR="00EF41F4" w:rsidRDefault="00EF41F4" w:rsidP="00DD5F5B">
            <w:pPr>
              <w:rPr>
                <w:b/>
                <w:bCs/>
              </w:rPr>
            </w:pPr>
            <w:r>
              <w:rPr>
                <w:rFonts w:hint="eastAsia"/>
                <w:b/>
                <w:bCs/>
              </w:rPr>
              <w:t>足值抵质押物担保</w:t>
            </w:r>
          </w:p>
        </w:tc>
      </w:tr>
      <w:tr w:rsidR="00EF41F4" w:rsidTr="00DD5F5B">
        <w:tc>
          <w:tcPr>
            <w:tcW w:w="2499" w:type="dxa"/>
            <w:vMerge/>
          </w:tcPr>
          <w:p w:rsidR="00EF41F4" w:rsidRDefault="00EF41F4" w:rsidP="00DD5F5B"/>
        </w:tc>
        <w:tc>
          <w:tcPr>
            <w:tcW w:w="6023" w:type="dxa"/>
          </w:tcPr>
          <w:p w:rsidR="00EF41F4" w:rsidRDefault="00EF41F4" w:rsidP="00DD5F5B">
            <w:r>
              <w:rPr>
                <w:rFonts w:hint="eastAsia"/>
              </w:rPr>
              <w:t>所有抵押贷款项目中，</w:t>
            </w:r>
            <w:r>
              <w:t>均</w:t>
            </w:r>
            <w:r>
              <w:rPr>
                <w:rFonts w:hint="eastAsia"/>
              </w:rPr>
              <w:t>要求借款人提供足值抵质押物，确保抵质押物的价值</w:t>
            </w:r>
            <w:r>
              <w:t>能够</w:t>
            </w:r>
            <w:r>
              <w:rPr>
                <w:rFonts w:hint="eastAsia"/>
              </w:rPr>
              <w:t>完全覆盖借款金额。此外，在签署借款合同的同时，严格办理抵质押物公证、抵押登记手续。</w:t>
            </w:r>
          </w:p>
        </w:tc>
      </w:tr>
      <w:tr w:rsidR="00EF41F4" w:rsidTr="00DD5F5B">
        <w:tc>
          <w:tcPr>
            <w:tcW w:w="2499" w:type="dxa"/>
            <w:vMerge/>
          </w:tcPr>
          <w:p w:rsidR="00EF41F4" w:rsidRDefault="00EF41F4" w:rsidP="00DD5F5B"/>
        </w:tc>
        <w:tc>
          <w:tcPr>
            <w:tcW w:w="6023" w:type="dxa"/>
          </w:tcPr>
          <w:p w:rsidR="00EF41F4" w:rsidRDefault="00EF41F4" w:rsidP="00DD5F5B">
            <w:r>
              <w:rPr>
                <w:rFonts w:hint="eastAsia"/>
                <w:b/>
                <w:bCs/>
              </w:rPr>
              <w:t>合作方提供连带责任保证</w:t>
            </w:r>
          </w:p>
        </w:tc>
      </w:tr>
      <w:tr w:rsidR="00EF41F4" w:rsidTr="00DD5F5B">
        <w:tc>
          <w:tcPr>
            <w:tcW w:w="2499" w:type="dxa"/>
            <w:vMerge/>
          </w:tcPr>
          <w:p w:rsidR="00EF41F4" w:rsidRDefault="00EF41F4" w:rsidP="00DD5F5B"/>
        </w:tc>
        <w:tc>
          <w:tcPr>
            <w:tcW w:w="6023" w:type="dxa"/>
          </w:tcPr>
          <w:p w:rsidR="00EF41F4" w:rsidRDefault="00EF41F4" w:rsidP="00DD5F5B">
            <w:r>
              <w:rPr>
                <w:rFonts w:hint="eastAsia"/>
              </w:rPr>
              <w:t>每个项目，我们均要求合作方为借款人的还款义务提供连带责任</w:t>
            </w:r>
            <w:r>
              <w:t>担保</w:t>
            </w:r>
            <w:r>
              <w:rPr>
                <w:rFonts w:hint="eastAsia"/>
              </w:rPr>
              <w:t>。一旦发生项目逾期或违约，合作方将按照合同约定履行相应还款义务。</w:t>
            </w:r>
          </w:p>
        </w:tc>
      </w:tr>
    </w:tbl>
    <w:p w:rsidR="00EF41F4" w:rsidRDefault="00EF41F4"/>
    <w:p w:rsidR="00221F6A" w:rsidRDefault="00221F6A" w:rsidP="00221F6A">
      <w:pPr>
        <w:numPr>
          <w:ilvl w:val="0"/>
          <w:numId w:val="1"/>
        </w:numPr>
        <w:rPr>
          <w:b/>
          <w:bCs/>
          <w:sz w:val="28"/>
          <w:szCs w:val="28"/>
        </w:rPr>
      </w:pPr>
      <w:r>
        <w:rPr>
          <w:rFonts w:hint="eastAsia"/>
          <w:b/>
          <w:bCs/>
          <w:sz w:val="28"/>
          <w:szCs w:val="28"/>
        </w:rPr>
        <w:t>资金安全</w:t>
      </w:r>
    </w:p>
    <w:p w:rsidR="00221F6A" w:rsidRDefault="00221F6A" w:rsidP="00221F6A"/>
    <w:tbl>
      <w:tblPr>
        <w:tblStyle w:val="a5"/>
        <w:tblW w:w="8499" w:type="dxa"/>
        <w:tblLayout w:type="fixed"/>
        <w:tblLook w:val="04A0" w:firstRow="1" w:lastRow="0" w:firstColumn="1" w:lastColumn="0" w:noHBand="0" w:noVBand="1"/>
      </w:tblPr>
      <w:tblGrid>
        <w:gridCol w:w="4267"/>
        <w:gridCol w:w="4232"/>
      </w:tblGrid>
      <w:tr w:rsidR="00221F6A" w:rsidTr="00DD5F5B">
        <w:tc>
          <w:tcPr>
            <w:tcW w:w="8499" w:type="dxa"/>
            <w:gridSpan w:val="2"/>
          </w:tcPr>
          <w:p w:rsidR="00221F6A" w:rsidRDefault="00221F6A" w:rsidP="00DD5F5B">
            <w:r>
              <w:rPr>
                <w:rFonts w:hint="eastAsia"/>
                <w:b/>
                <w:bCs/>
              </w:rPr>
              <w:lastRenderedPageBreak/>
              <w:t>账户安全</w:t>
            </w:r>
          </w:p>
        </w:tc>
      </w:tr>
      <w:tr w:rsidR="00221F6A" w:rsidTr="00DD5F5B">
        <w:tc>
          <w:tcPr>
            <w:tcW w:w="4267" w:type="dxa"/>
          </w:tcPr>
          <w:p w:rsidR="00221F6A" w:rsidRDefault="00221F6A" w:rsidP="00DD5F5B">
            <w:r>
              <w:rPr>
                <w:rFonts w:hint="eastAsia"/>
              </w:rPr>
              <w:t>1.</w:t>
            </w:r>
            <w:r>
              <w:rPr>
                <w:rFonts w:hint="eastAsia"/>
              </w:rPr>
              <w:t>注册开户双重验证</w:t>
            </w:r>
          </w:p>
          <w:p w:rsidR="00221F6A" w:rsidRDefault="00221F6A" w:rsidP="00DD5F5B">
            <w:r>
              <w:rPr>
                <w:rFonts w:hint="eastAsia"/>
              </w:rPr>
              <w:t>注册：需手机动态验证码验证才能成功注册。</w:t>
            </w:r>
          </w:p>
          <w:p w:rsidR="00221F6A" w:rsidRDefault="00221F6A" w:rsidP="00DD5F5B">
            <w:r>
              <w:rPr>
                <w:rFonts w:hint="eastAsia"/>
              </w:rPr>
              <w:t>开户：真实姓名和身份证号验证通过，仍需二次验证手机验证码才能开户。</w:t>
            </w:r>
          </w:p>
        </w:tc>
        <w:tc>
          <w:tcPr>
            <w:tcW w:w="4232" w:type="dxa"/>
          </w:tcPr>
          <w:p w:rsidR="00221F6A" w:rsidRDefault="00221F6A" w:rsidP="00DD5F5B">
            <w:r>
              <w:rPr>
                <w:rFonts w:hint="eastAsia"/>
              </w:rPr>
              <w:t>2.</w:t>
            </w:r>
            <w:r>
              <w:rPr>
                <w:rFonts w:hint="eastAsia"/>
              </w:rPr>
              <w:t>全方位技术保障</w:t>
            </w:r>
          </w:p>
          <w:p w:rsidR="00221F6A" w:rsidRDefault="00221F6A" w:rsidP="00DD5F5B">
            <w:r>
              <w:rPr>
                <w:rFonts w:hint="eastAsia"/>
              </w:rPr>
              <w:t>鑫路金融平台所使用的系统由自身团队研发，是一套专门为网络信息服务中介而服务的平台体系。严格管理您的各项信息，确保投资者交易终端环境安全。</w:t>
            </w:r>
          </w:p>
        </w:tc>
      </w:tr>
      <w:tr w:rsidR="00221F6A" w:rsidTr="00DD5F5B">
        <w:tc>
          <w:tcPr>
            <w:tcW w:w="8499" w:type="dxa"/>
            <w:gridSpan w:val="2"/>
          </w:tcPr>
          <w:p w:rsidR="00221F6A" w:rsidRDefault="00221F6A" w:rsidP="00DD5F5B">
            <w:r>
              <w:rPr>
                <w:rFonts w:hint="eastAsia"/>
                <w:b/>
                <w:bCs/>
              </w:rPr>
              <w:t>同卡进出</w:t>
            </w:r>
          </w:p>
        </w:tc>
      </w:tr>
      <w:tr w:rsidR="00221F6A" w:rsidTr="00DD5F5B">
        <w:tc>
          <w:tcPr>
            <w:tcW w:w="8499" w:type="dxa"/>
            <w:gridSpan w:val="2"/>
          </w:tcPr>
          <w:p w:rsidR="00221F6A" w:rsidRDefault="00221F6A" w:rsidP="00DD5F5B">
            <w:r>
              <w:rPr>
                <w:rFonts w:hint="eastAsia"/>
              </w:rPr>
              <w:t>您在鑫路金融开通银行卡快捷支付，充值和提现的银行卡必须是同一张银行卡，即使账户丢失、手机丢失，账户中的钱依然不会丢失。</w:t>
            </w:r>
          </w:p>
        </w:tc>
      </w:tr>
    </w:tbl>
    <w:p w:rsidR="00221F6A" w:rsidRDefault="00221F6A"/>
    <w:p w:rsidR="000814D8" w:rsidRDefault="000814D8" w:rsidP="000814D8">
      <w:pPr>
        <w:numPr>
          <w:ilvl w:val="0"/>
          <w:numId w:val="1"/>
        </w:numPr>
        <w:rPr>
          <w:b/>
          <w:bCs/>
          <w:sz w:val="28"/>
          <w:szCs w:val="28"/>
        </w:rPr>
      </w:pPr>
      <w:r>
        <w:rPr>
          <w:rFonts w:hint="eastAsia"/>
          <w:b/>
          <w:bCs/>
          <w:sz w:val="28"/>
          <w:szCs w:val="28"/>
        </w:rPr>
        <w:t>法律</w:t>
      </w:r>
      <w:r w:rsidR="00701BA8">
        <w:rPr>
          <w:rFonts w:hint="eastAsia"/>
          <w:b/>
          <w:bCs/>
          <w:sz w:val="28"/>
          <w:szCs w:val="28"/>
        </w:rPr>
        <w:t>合规</w:t>
      </w:r>
      <w:bookmarkStart w:id="0" w:name="_GoBack"/>
      <w:bookmarkEnd w:id="0"/>
    </w:p>
    <w:p w:rsidR="000814D8" w:rsidRDefault="000814D8" w:rsidP="000814D8">
      <w:pPr>
        <w:rPr>
          <w:b/>
          <w:bCs/>
        </w:rPr>
      </w:pPr>
    </w:p>
    <w:tbl>
      <w:tblPr>
        <w:tblStyle w:val="a5"/>
        <w:tblW w:w="8522" w:type="dxa"/>
        <w:tblLayout w:type="fixed"/>
        <w:tblLook w:val="04A0" w:firstRow="1" w:lastRow="0" w:firstColumn="1" w:lastColumn="0" w:noHBand="0" w:noVBand="1"/>
      </w:tblPr>
      <w:tblGrid>
        <w:gridCol w:w="4261"/>
        <w:gridCol w:w="4261"/>
      </w:tblGrid>
      <w:tr w:rsidR="000814D8" w:rsidTr="00DD5F5B">
        <w:tc>
          <w:tcPr>
            <w:tcW w:w="4261" w:type="dxa"/>
          </w:tcPr>
          <w:p w:rsidR="000814D8" w:rsidRDefault="000814D8" w:rsidP="00DD5F5B">
            <w:pPr>
              <w:rPr>
                <w:b/>
                <w:bCs/>
              </w:rPr>
            </w:pPr>
            <w:r>
              <w:rPr>
                <w:rFonts w:hint="eastAsia"/>
                <w:b/>
                <w:bCs/>
              </w:rPr>
              <w:t>平台服务内容合法</w:t>
            </w:r>
          </w:p>
        </w:tc>
        <w:tc>
          <w:tcPr>
            <w:tcW w:w="4261" w:type="dxa"/>
          </w:tcPr>
          <w:p w:rsidR="000814D8" w:rsidRDefault="000814D8" w:rsidP="00DD5F5B">
            <w:r>
              <w:rPr>
                <w:rFonts w:hint="eastAsia"/>
              </w:rPr>
              <w:t>根据《网络借贷信息中介机构业务活动管理暂行办法》第</w:t>
            </w:r>
            <w:r>
              <w:rPr>
                <w:rFonts w:hint="eastAsia"/>
              </w:rPr>
              <w:t>2</w:t>
            </w:r>
            <w:r>
              <w:rPr>
                <w:rFonts w:hint="eastAsia"/>
              </w:rPr>
              <w:t>条规定，网络借贷信息中介机构是指依法设立，专门从事网络借贷信息中介业务活动的金融信息中介公司。该类机构以互联网为主要渠道，为借款人与出借人（即贷款人）实现直接借贷提供信息搜集、信息公布、资信评估、信息交互、借贷撮合等服务。</w:t>
            </w:r>
          </w:p>
        </w:tc>
      </w:tr>
      <w:tr w:rsidR="000814D8" w:rsidTr="00DD5F5B">
        <w:tc>
          <w:tcPr>
            <w:tcW w:w="4261" w:type="dxa"/>
          </w:tcPr>
          <w:p w:rsidR="000814D8" w:rsidRDefault="000814D8" w:rsidP="00DD5F5B">
            <w:pPr>
              <w:rPr>
                <w:b/>
                <w:bCs/>
              </w:rPr>
            </w:pPr>
            <w:r>
              <w:rPr>
                <w:rFonts w:hint="eastAsia"/>
                <w:b/>
                <w:bCs/>
              </w:rPr>
              <w:t>用户取得收益合法</w:t>
            </w:r>
          </w:p>
        </w:tc>
        <w:tc>
          <w:tcPr>
            <w:tcW w:w="4261" w:type="dxa"/>
          </w:tcPr>
          <w:p w:rsidR="000814D8" w:rsidRDefault="000814D8" w:rsidP="00DD5F5B">
            <w:r>
              <w:rPr>
                <w:rFonts w:hint="eastAsia"/>
              </w:rPr>
              <w:t>《最高人民法院关于审理民间借贷案件适用法律若干问题的规定》第一条明确指出，“本规定所称的民间借贷，是指自然人、法人、其他组织之间及其相互之间进行资金融通的行为”，《最高人民法院关于审理民间借贷案件适用法律若干问题的规定》第二十六条：“借贷双方约定的利率未超过年利率</w:t>
            </w:r>
            <w:r>
              <w:rPr>
                <w:rFonts w:hint="eastAsia"/>
              </w:rPr>
              <w:t>24%</w:t>
            </w:r>
            <w:r>
              <w:rPr>
                <w:rFonts w:hint="eastAsia"/>
              </w:rPr>
              <w:t>，出借人请求借款人按照约定的利率支付利息的，人民法院应予支持。”鑫路金融平台上资金借出方向资金借入方出借资金并按照约定利率收取利息，且该等利率未超过年利率</w:t>
            </w:r>
            <w:r>
              <w:rPr>
                <w:rFonts w:hint="eastAsia"/>
              </w:rPr>
              <w:t>24%</w:t>
            </w:r>
            <w:r>
              <w:rPr>
                <w:rFonts w:hint="eastAsia"/>
              </w:rPr>
              <w:t>，为合法利息收益，受到法律保护。</w:t>
            </w:r>
          </w:p>
        </w:tc>
      </w:tr>
      <w:tr w:rsidR="000814D8" w:rsidTr="00DD5F5B">
        <w:tc>
          <w:tcPr>
            <w:tcW w:w="4261" w:type="dxa"/>
          </w:tcPr>
          <w:p w:rsidR="000814D8" w:rsidRDefault="000814D8" w:rsidP="00DD5F5B">
            <w:pPr>
              <w:rPr>
                <w:b/>
                <w:bCs/>
              </w:rPr>
            </w:pPr>
            <w:r>
              <w:rPr>
                <w:rFonts w:hint="eastAsia"/>
                <w:b/>
                <w:bCs/>
              </w:rPr>
              <w:t>专业法律支持</w:t>
            </w:r>
          </w:p>
        </w:tc>
        <w:tc>
          <w:tcPr>
            <w:tcW w:w="4261" w:type="dxa"/>
          </w:tcPr>
          <w:p w:rsidR="000814D8" w:rsidRDefault="000814D8" w:rsidP="00DD5F5B">
            <w:r>
              <w:rPr>
                <w:rFonts w:hint="eastAsia"/>
              </w:rPr>
              <w:t>公司与广东三民律师事务所达成长期合作协议，所有业务活动以及相关合同和协议，均由专业律师核对相关法律条款，确保其符合相关法律法规，鑫路金融合法守信经营，让用户权益受国家法律保护。</w:t>
            </w:r>
          </w:p>
        </w:tc>
      </w:tr>
    </w:tbl>
    <w:p w:rsidR="000814D8" w:rsidRDefault="000814D8" w:rsidP="000814D8"/>
    <w:p w:rsidR="000814D8" w:rsidRPr="000814D8" w:rsidRDefault="000814D8">
      <w:pPr>
        <w:rPr>
          <w:rFonts w:hint="eastAsia"/>
        </w:rPr>
      </w:pPr>
    </w:p>
    <w:sectPr w:rsidR="000814D8" w:rsidRPr="000814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10F" w:rsidRDefault="005D710F" w:rsidP="00EF41F4">
      <w:r>
        <w:separator/>
      </w:r>
    </w:p>
  </w:endnote>
  <w:endnote w:type="continuationSeparator" w:id="0">
    <w:p w:rsidR="005D710F" w:rsidRDefault="005D710F" w:rsidP="00EF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10F" w:rsidRDefault="005D710F" w:rsidP="00EF41F4">
      <w:r>
        <w:separator/>
      </w:r>
    </w:p>
  </w:footnote>
  <w:footnote w:type="continuationSeparator" w:id="0">
    <w:p w:rsidR="005D710F" w:rsidRDefault="005D710F" w:rsidP="00EF4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98113"/>
    <w:multiLevelType w:val="singleLevel"/>
    <w:tmpl w:val="5A69811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79"/>
    <w:rsid w:val="000814D8"/>
    <w:rsid w:val="00221F6A"/>
    <w:rsid w:val="005D710F"/>
    <w:rsid w:val="00701BA8"/>
    <w:rsid w:val="007348F4"/>
    <w:rsid w:val="007E2279"/>
    <w:rsid w:val="00EF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EA4BFC-B7F6-44B7-806B-5A27E844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1F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1F4"/>
    <w:rPr>
      <w:sz w:val="18"/>
      <w:szCs w:val="18"/>
    </w:rPr>
  </w:style>
  <w:style w:type="paragraph" w:styleId="a4">
    <w:name w:val="footer"/>
    <w:basedOn w:val="a"/>
    <w:link w:val="Char0"/>
    <w:uiPriority w:val="99"/>
    <w:unhideWhenUsed/>
    <w:rsid w:val="00EF41F4"/>
    <w:pPr>
      <w:tabs>
        <w:tab w:val="center" w:pos="4153"/>
        <w:tab w:val="right" w:pos="8306"/>
      </w:tabs>
      <w:snapToGrid w:val="0"/>
      <w:jc w:val="left"/>
    </w:pPr>
    <w:rPr>
      <w:sz w:val="18"/>
      <w:szCs w:val="18"/>
    </w:rPr>
  </w:style>
  <w:style w:type="character" w:customStyle="1" w:styleId="Char0">
    <w:name w:val="页脚 Char"/>
    <w:basedOn w:val="a0"/>
    <w:link w:val="a4"/>
    <w:uiPriority w:val="99"/>
    <w:rsid w:val="00EF41F4"/>
    <w:rPr>
      <w:sz w:val="18"/>
      <w:szCs w:val="18"/>
    </w:rPr>
  </w:style>
  <w:style w:type="table" w:styleId="a5">
    <w:name w:val="Table Grid"/>
    <w:basedOn w:val="a1"/>
    <w:rsid w:val="00EF41F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sid w:val="00221F6A"/>
    <w:rPr>
      <w:sz w:val="21"/>
      <w:szCs w:val="21"/>
    </w:rPr>
  </w:style>
  <w:style w:type="paragraph" w:styleId="a7">
    <w:name w:val="annotation text"/>
    <w:basedOn w:val="a"/>
    <w:link w:val="Char1"/>
    <w:rsid w:val="00221F6A"/>
    <w:pPr>
      <w:jc w:val="left"/>
    </w:pPr>
  </w:style>
  <w:style w:type="character" w:customStyle="1" w:styleId="Char1">
    <w:name w:val="批注文字 Char"/>
    <w:basedOn w:val="a0"/>
    <w:link w:val="a7"/>
    <w:rsid w:val="00221F6A"/>
    <w:rPr>
      <w:szCs w:val="24"/>
    </w:rPr>
  </w:style>
  <w:style w:type="paragraph" w:styleId="a8">
    <w:name w:val="Balloon Text"/>
    <w:basedOn w:val="a"/>
    <w:link w:val="Char2"/>
    <w:uiPriority w:val="99"/>
    <w:semiHidden/>
    <w:unhideWhenUsed/>
    <w:rsid w:val="00221F6A"/>
    <w:rPr>
      <w:sz w:val="18"/>
      <w:szCs w:val="18"/>
    </w:rPr>
  </w:style>
  <w:style w:type="character" w:customStyle="1" w:styleId="Char2">
    <w:name w:val="批注框文本 Char"/>
    <w:basedOn w:val="a0"/>
    <w:link w:val="a8"/>
    <w:uiPriority w:val="99"/>
    <w:semiHidden/>
    <w:rsid w:val="00221F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孙仕</dc:creator>
  <cp:keywords/>
  <dc:description/>
  <cp:lastModifiedBy>孙仕</cp:lastModifiedBy>
  <cp:revision>7</cp:revision>
  <dcterms:created xsi:type="dcterms:W3CDTF">2018-01-30T01:46:00Z</dcterms:created>
  <dcterms:modified xsi:type="dcterms:W3CDTF">2018-01-30T02:00:00Z</dcterms:modified>
</cp:coreProperties>
</file>