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E89CD" w14:textId="77777777" w:rsidR="007D51B3" w:rsidRPr="004072DD" w:rsidRDefault="007D51B3" w:rsidP="007D51B3">
      <w:pPr>
        <w:jc w:val="both"/>
        <w:rPr>
          <w:rFonts w:ascii="Times New Roman" w:hAnsi="Times New Roman" w:cs="Times New Roman"/>
        </w:rPr>
      </w:pPr>
      <w:r w:rsidRPr="004072DD">
        <w:rPr>
          <w:rFonts w:ascii="Times New Roman" w:hAnsi="Times New Roman" w:cs="Times New Roman"/>
        </w:rPr>
        <w:t>Standard Isotope Methodology</w:t>
      </w:r>
    </w:p>
    <w:p w14:paraId="10B92710" w14:textId="3D53B1F3" w:rsidR="007D51B3" w:rsidRPr="004072DD" w:rsidRDefault="007D51B3" w:rsidP="007D51B3">
      <w:pPr>
        <w:pStyle w:val="NormalWeb"/>
        <w:jc w:val="both"/>
      </w:pPr>
      <w:r w:rsidRPr="004072DD">
        <w:t xml:space="preserve">Carbonate samples were drilled with a small dental drill using a 0.5 mm carbide bit to avoid fracturing and veining. Depending on the size of the phase of interest, 2-10 mg of powder was drilled. Carbon and oxygen isotope analyses were performed on carbonate powders using a Nu Perspective IRMS at the MIT Carbonate Research Laboratory. Procedures followed those outlined in Anderson et al. (2021). Samples were heated to remove water and volatiles before acidification in a </w:t>
      </w:r>
      <w:proofErr w:type="spellStart"/>
      <w:r w:rsidRPr="004072DD">
        <w:t>NuCarb</w:t>
      </w:r>
      <w:proofErr w:type="spellEnd"/>
      <w:r w:rsidRPr="004072DD">
        <w:t xml:space="preserve"> automated sample preparation unit held at 70°C. Carbonate samples (including dolomite) weighing 50–100 </w:t>
      </w:r>
      <w:proofErr w:type="spellStart"/>
      <w:r w:rsidRPr="004072DD">
        <w:t>μg</w:t>
      </w:r>
      <w:proofErr w:type="spellEnd"/>
      <w:r w:rsidRPr="004072DD">
        <w:t xml:space="preserve"> reacted for 25 minutes in individual glass vials with 150 </w:t>
      </w:r>
      <w:proofErr w:type="spellStart"/>
      <w:r w:rsidRPr="004072DD">
        <w:t>μl</w:t>
      </w:r>
      <w:proofErr w:type="spellEnd"/>
      <w:r w:rsidRPr="004072DD">
        <w:t xml:space="preserve"> orthophosphoric acid (ρ = 1.93 g/cm³). Evolved CO₂ gas was purified cryogenically. Purified sample gas and reference gas of known composition were alternately measured on six Faraday collectors (m/z 44–49) in 6 cycles, each with 30 seconds integration time (3 minutes total integration time). Each </w:t>
      </w:r>
      <w:r>
        <w:t>session</w:t>
      </w:r>
      <w:r w:rsidRPr="004072DD">
        <w:t xml:space="preserve"> of approximately 50 individual analyses began with two ETH anchors, then alternated between blocks of six to eight unknowns and two ETH anchors, totaling eight anchors per run.</w:t>
      </w:r>
    </w:p>
    <w:p w14:paraId="2A1C3D06" w14:textId="40EFAD4D" w:rsidR="007D51B3" w:rsidRPr="004072DD" w:rsidRDefault="007D51B3" w:rsidP="007D51B3">
      <w:pPr>
        <w:pStyle w:val="NormalWeb"/>
        <w:jc w:val="both"/>
      </w:pPr>
      <w:r w:rsidRPr="004072DD">
        <w:t>Data were processed using the “D47crunch” Python package (</w:t>
      </w:r>
      <w:proofErr w:type="spellStart"/>
      <w:r w:rsidRPr="004072DD">
        <w:t>Daëron</w:t>
      </w:r>
      <w:proofErr w:type="spellEnd"/>
      <w:r w:rsidRPr="004072DD">
        <w:t>, 2023) with IUPAC 17O parameters and 70°C 18O acid fractionation factors of 1.00871 for calcite (Kim et al., 2007) and 1.009926 for dolomite (Rosenbaum and Shepard, 1986). Raw measurements were converted to Vienna Pee Dee Belemnite using a pooled regression approach (</w:t>
      </w:r>
      <w:proofErr w:type="spellStart"/>
      <w:r w:rsidRPr="004072DD">
        <w:t>Daëron</w:t>
      </w:r>
      <w:proofErr w:type="spellEnd"/>
      <w:r w:rsidRPr="004072DD">
        <w:t xml:space="preserve">, 2021) that used the ETH anchor values from </w:t>
      </w:r>
      <w:proofErr w:type="spellStart"/>
      <w:r w:rsidRPr="004072DD">
        <w:t>Bernasconi</w:t>
      </w:r>
      <w:proofErr w:type="spellEnd"/>
      <w:r w:rsidRPr="004072DD">
        <w:t xml:space="preserve"> et al. (2021). </w:t>
      </w:r>
      <w:r>
        <w:t xml:space="preserve">Nominal anchor values for d13C and d18O are ('ETH-1': 2.02, 'ETH-2': -10.17, 'ETH-3': 1.71, 'ETH-4': -10.2, 'IAEA-C1': 2.42, 'IAEA-C2': -8.25, 'CIT': 2.05). </w:t>
      </w:r>
      <w:r w:rsidRPr="004072DD">
        <w:t xml:space="preserve">The long-term </w:t>
      </w:r>
      <w:r w:rsidR="00C46361">
        <w:t xml:space="preserve">average </w:t>
      </w:r>
      <w:r w:rsidRPr="004072DD">
        <w:t xml:space="preserve">external repeatability (1SD) for </w:t>
      </w:r>
      <w:r w:rsidR="00D05346">
        <w:t>standards</w:t>
      </w:r>
      <w:r w:rsidRPr="004072DD">
        <w:t xml:space="preserve"> is </w:t>
      </w:r>
      <w:r w:rsidR="00C46361">
        <w:t>0.06</w:t>
      </w:r>
      <w:r w:rsidRPr="004072DD">
        <w:t xml:space="preserve">‰ for δ¹³C and </w:t>
      </w:r>
      <w:r w:rsidR="00C46361">
        <w:t>0.25</w:t>
      </w:r>
      <w:r w:rsidRPr="004072DD">
        <w:t>‰ for δ¹⁸O.</w:t>
      </w:r>
      <w:r>
        <w:t xml:space="preserve"> The dataset contains </w:t>
      </w:r>
      <w:r w:rsidR="00C46361">
        <w:t>2434</w:t>
      </w:r>
      <w:r w:rsidR="00C56A24">
        <w:t xml:space="preserve"> </w:t>
      </w:r>
      <w:r>
        <w:t xml:space="preserve">analyses of </w:t>
      </w:r>
      <w:r w:rsidR="00D05346">
        <w:t>18</w:t>
      </w:r>
      <w:r w:rsidR="00C46361">
        <w:t>93</w:t>
      </w:r>
      <w:r>
        <w:t xml:space="preserve"> unique samples and anchors conducted over 7</w:t>
      </w:r>
      <w:r w:rsidR="00C56A24">
        <w:t>0</w:t>
      </w:r>
      <w:r>
        <w:t xml:space="preserve"> sessions.</w:t>
      </w:r>
    </w:p>
    <w:p w14:paraId="6F9D4DF5" w14:textId="4C844100" w:rsidR="007D51B3" w:rsidRPr="007D51B3" w:rsidRDefault="007D51B3" w:rsidP="007D51B3"/>
    <w:sectPr w:rsidR="007D51B3" w:rsidRPr="007D51B3" w:rsidSect="00B2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B3"/>
    <w:rsid w:val="002F1626"/>
    <w:rsid w:val="0038118D"/>
    <w:rsid w:val="0049294E"/>
    <w:rsid w:val="00754C6F"/>
    <w:rsid w:val="007D51B3"/>
    <w:rsid w:val="00917A0B"/>
    <w:rsid w:val="009E6B88"/>
    <w:rsid w:val="00B22C34"/>
    <w:rsid w:val="00C46361"/>
    <w:rsid w:val="00C56A24"/>
    <w:rsid w:val="00CC1E68"/>
    <w:rsid w:val="00D0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81C5A"/>
  <w15:chartTrackingRefBased/>
  <w15:docId w15:val="{0FC1D855-D61C-2A48-BCD0-B9C9F60B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D51B3"/>
  </w:style>
  <w:style w:type="paragraph" w:styleId="Heading1">
    <w:name w:val="heading 1"/>
    <w:basedOn w:val="Normal"/>
    <w:next w:val="Normal"/>
    <w:link w:val="Heading1Char"/>
    <w:uiPriority w:val="9"/>
    <w:qFormat/>
    <w:rsid w:val="007D5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1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1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1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D51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Bergmann</dc:creator>
  <cp:keywords/>
  <dc:description/>
  <cp:lastModifiedBy>Kristin Bergmann</cp:lastModifiedBy>
  <cp:revision>1</cp:revision>
  <dcterms:created xsi:type="dcterms:W3CDTF">2024-07-27T06:49:00Z</dcterms:created>
  <dcterms:modified xsi:type="dcterms:W3CDTF">2024-07-29T09:19:00Z</dcterms:modified>
</cp:coreProperties>
</file>