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Preparación de apagadores</w:t>
        <w:br/>
        <w:t>para domótica</w:t>
      </w:r>
    </w:p>
    <w:p>
      <w:pPr>
        <w:widowControl/>
      </w:pPr>
      <w:r>
        <w:rPr>
          <w:sz w:val="18"/>
        </w:rPr>
        <w:t>Guía de muestra para el constructor  •  Puebla  •  24 de octubre de 2026</w:t>
      </w:r>
    </w:p>
    <w:p>
      <w:pPr>
        <w:widowControl/>
      </w:pPr>
      <w:r>
        <w:t>Prever desde la construcción cajas con espacio suficiente y cable neutro en los puntos de apagador, para facilitar la instalación posterior de controles inteligentes de iluminación y reducir modificaciones a los acabados.</w:t>
      </w:r>
    </w:p>
    <w:p>
      <w:pPr>
        <w:pStyle w:val="Heading1"/>
        <w:widowControl/>
      </w:pPr>
      <w:r>
        <w:t>1  Chalupas más grandes y profundas</w:t>
      </w:r>
    </w:p>
    <w:p>
      <w:pPr>
        <w:widowControl/>
      </w:pPr>
      <w:r>
        <w:t>Usar cajas de mayor volumen y profundidad que la chalupa convencional prevista en obra. Deben alojar el apagador, el módulo inteligente cuando corresponda, los conductores y sus conectores, conservando espacio para montaje y mantenimiento.</w:t>
      </w:r>
    </w:p>
    <w:p>
      <w:pPr>
        <w:widowControl/>
      </w:pPr>
      <w:r>
        <w:t>Registrar marca, modelo, ancho, alto, profundidad útil y volumen. Confirmar compatibilidad con el muro, la fijación del apagador y la placa elegida. La medida definitiva se aprobará con el equipo previsto y la revisión de ocupación de la caja conforme a 314-16 [1].</w:t>
      </w:r>
    </w:p>
    <w:p>
      <w:pPr>
        <w:widowControl/>
      </w:pPr>
      <w:r>
        <w:rPr>
          <w:b/>
        </w:rPr>
        <w:t xml:space="preserve">Comprobación práctica. </w:t>
      </w:r>
      <w:r>
        <w:t>Armar una muestra con todos los componentes antes de repetir la solución en obra. La placa debe cerrar sin comprimir conexiones ni forzar cables; el montaje debe respetar las instrucciones del fabricante.</w:t>
      </w:r>
    </w:p>
    <w:p>
      <w:pPr>
        <w:pStyle w:val="Heading1"/>
        <w:widowControl/>
      </w:pPr>
      <w:r>
        <w:t>2  Cable neutro en cada punto de apagador</w:t>
      </w:r>
    </w:p>
    <w:p>
      <w:pPr>
        <w:widowControl/>
      </w:pPr>
      <w:r>
        <w:t>Llevar físicamente hasta cada caja el neutro del circuito de iluminación correspondiente, aunque inicialmente se coloque un apagador convencional. Dejarlo identificado y disponible para conexión futura, con su extremo protegido mediante un conector adecuado si queda sin uso. Una tubería vacía no cumple esta guía.</w:t>
      </w:r>
    </w:p>
    <w:p>
      <w:pPr>
        <w:widowControl/>
      </w:pPr>
      <w:r>
        <w:t>No tomar el neutro de otro circuito ni utilizar la tierra de protección como neutro. El responsable eléctrico definirá calibre, aislamiento, identificación, canalización y reserva de conductor. Confirmar también la fase permanente y los retornos necesarios donde se ubicará el equipo, según su diagrama.</w:t>
      </w:r>
    </w:p>
    <w:p>
      <w:pPr>
        <w:widowControl/>
      </w:pPr>
      <w:r>
        <w:t>En controles de escalera, de varios puntos o con varios circuitos en una caja, revisar el esquema antes del cableado. Esta guía pide neutro instalado en cada punto, aun cuando alguna excepción de 404-2(c) permita omitirlo [2].</w:t>
      </w:r>
    </w:p>
    <w:p>
      <w:pPr>
        <w:pStyle w:val="Heading1"/>
        <w:widowControl/>
      </w:pPr>
      <w:r>
        <w:t>3  Revisión en obra</w:t>
      </w:r>
    </w:p>
    <w:p>
      <w:pPr>
        <w:widowControl/>
      </w:pPr>
      <w:r>
        <w:t>Verificar el modelo y espacio de las cajas antes de cerrar muros. Después del cableado, el electricista comprobará el neutro del circuito correcto y documentará las cajas y conexiones antes de colocar las placas. Conservar fotografías y la referencia del circuito por ubicación.</w:t>
      </w:r>
    </w:p>
    <w:p>
      <w:pPr>
        <w:widowControl/>
      </w:pPr>
      <w:r>
        <w:t>Alcance: preparación de iluminación. El responsable del proyecto eléctrico debe validar estas previsiones para la obra concreta; esta hoja no sustituye sus planos, cálculos ni pruebas. No incluye selección de equipos, automatizaciones, cortinas ni presupuesto.</w:t>
      </w:r>
    </w:p>
    <w:p>
      <w:pPr>
        <w:widowControl/>
        <w:spacing w:before="120" w:after="0"/>
      </w:pPr>
      <w:r>
        <w:rPr>
          <w:b/>
          <w:sz w:val="16"/>
        </w:rPr>
        <w:t xml:space="preserve">Referencias consultadas el 24 de octubre de 2026. </w:t>
      </w:r>
      <w:hyperlink r:id="rId9">
        <w:r>
          <w:rPr>
            <w:color w:val="000000"/>
            <w:u w:val="single"/>
            <w:sz w:val="16"/>
          </w:rPr>
          <w:t>[1] NOM 314-16</w:t>
        </w:r>
      </w:hyperlink>
      <w:r>
        <w:rPr>
          <w:sz w:val="16"/>
        </w:rPr>
        <w:t xml:space="preserve">  ·  </w:t>
      </w:r>
      <w:hyperlink r:id="rId10">
        <w:r>
          <w:rPr>
            <w:color w:val="000000"/>
            <w:u w:val="single"/>
            <w:sz w:val="16"/>
          </w:rPr>
          <w:t>[2] NOM 404-2(c)</w:t>
        </w:r>
      </w:hyperlink>
      <w:r>
        <w:rPr>
          <w:sz w:val="16"/>
        </w:rPr>
        <w:t xml:space="preserve">  ·  </w:t>
      </w:r>
      <w:hyperlink r:id="rId11">
        <w:r>
          <w:rPr>
            <w:color w:val="000000"/>
            <w:u w:val="single"/>
            <w:sz w:val="16"/>
          </w:rPr>
          <w:t>NOM-001-SEDE-2012 vigente en PLATIICA</w:t>
        </w:r>
      </w:hyperlink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dof.segob.gob.mx/notas/docFuente/5280609" TargetMode="External"/><Relationship Id="rId10" Type="http://schemas.openxmlformats.org/officeDocument/2006/relationships/hyperlink" Target="https://sidof.segob.gob.mx/notas/docFuente/5280611" TargetMode="External"/><Relationship Id="rId11" Type="http://schemas.openxmlformats.org/officeDocument/2006/relationships/hyperlink" Target="https://platiica.economia.gob.mx/normalizacion/nom-001-sede-20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 apagadores para domótica</dc:title>
  <dc:subject>Guía de muestra de preparación de obra para iluminación</dc:subject>
  <dc:creator/>
  <cp:keywords>domótica, construcción, chalupas, neutro, iluminación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