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A3464" w14:textId="77777777" w:rsidR="00901619" w:rsidRPr="00A61D5B" w:rsidRDefault="00901619" w:rsidP="00901619">
      <w:pPr>
        <w:pStyle w:val="Title"/>
        <w:spacing w:before="0" w:after="0" w:line="480" w:lineRule="auto"/>
        <w:rPr>
          <w:rFonts w:ascii="Times New Roman" w:hAnsi="Times New Roman" w:cs="Times New Roman"/>
          <w:szCs w:val="24"/>
        </w:rPr>
      </w:pPr>
    </w:p>
    <w:p w14:paraId="4B78B958" w14:textId="77777777" w:rsidR="00901619" w:rsidRPr="00A61D5B" w:rsidRDefault="00901619" w:rsidP="00901619">
      <w:pPr>
        <w:pStyle w:val="Title"/>
        <w:spacing w:before="0" w:after="0" w:line="480" w:lineRule="auto"/>
        <w:rPr>
          <w:rFonts w:ascii="Times New Roman" w:hAnsi="Times New Roman" w:cs="Times New Roman"/>
          <w:szCs w:val="24"/>
        </w:rPr>
      </w:pPr>
    </w:p>
    <w:p w14:paraId="316ED846" w14:textId="77777777" w:rsidR="0035396C" w:rsidRPr="00A61D5B" w:rsidRDefault="0035396C" w:rsidP="0035396C">
      <w:pPr>
        <w:rPr>
          <w:rFonts w:ascii="Times New Roman" w:hAnsi="Times New Roman" w:cs="Times New Roman"/>
        </w:rPr>
      </w:pPr>
    </w:p>
    <w:p w14:paraId="59A1CBBB" w14:textId="77777777" w:rsidR="00663E15" w:rsidRPr="00A61D5B" w:rsidRDefault="00585E18" w:rsidP="00901619">
      <w:pPr>
        <w:pStyle w:val="Title"/>
        <w:spacing w:before="0" w:after="0" w:line="480" w:lineRule="auto"/>
        <w:rPr>
          <w:rFonts w:ascii="Times New Roman" w:hAnsi="Times New Roman" w:cs="Times New Roman"/>
          <w:szCs w:val="24"/>
        </w:rPr>
      </w:pPr>
      <w:bookmarkStart w:id="0" w:name="_GoBack"/>
      <w:bookmarkEnd w:id="0"/>
      <w:r w:rsidRPr="00A61D5B">
        <w:rPr>
          <w:rFonts w:ascii="Times New Roman" w:hAnsi="Times New Roman" w:cs="Times New Roman"/>
          <w:szCs w:val="24"/>
        </w:rPr>
        <w:t>A shifted Wald decomposition of the numerical size-congruity effect: Support for a late interaction account</w:t>
      </w:r>
    </w:p>
    <w:p w14:paraId="12E414C1" w14:textId="3A0E9D6D" w:rsidR="00901619" w:rsidRPr="00A61D5B" w:rsidRDefault="00901619" w:rsidP="00901619">
      <w:pPr>
        <w:jc w:val="center"/>
        <w:rPr>
          <w:rFonts w:ascii="Times New Roman" w:hAnsi="Times New Roman" w:cs="Times New Roman"/>
        </w:rPr>
      </w:pPr>
      <w:r w:rsidRPr="00A61D5B">
        <w:rPr>
          <w:rFonts w:ascii="Times New Roman" w:hAnsi="Times New Roman" w:cs="Times New Roman"/>
        </w:rPr>
        <w:t>Thomas J. Faulkenberry, Adriana D. Vick, and Kristen A. Bowman</w:t>
      </w:r>
    </w:p>
    <w:p w14:paraId="74A2256A" w14:textId="1F991879" w:rsidR="00901619" w:rsidRPr="00A61D5B" w:rsidRDefault="00901619" w:rsidP="00901619">
      <w:pPr>
        <w:jc w:val="center"/>
        <w:rPr>
          <w:rFonts w:ascii="Times New Roman" w:hAnsi="Times New Roman" w:cs="Times New Roman"/>
        </w:rPr>
      </w:pPr>
      <w:r w:rsidRPr="00A61D5B">
        <w:rPr>
          <w:rFonts w:ascii="Times New Roman" w:hAnsi="Times New Roman" w:cs="Times New Roman"/>
        </w:rPr>
        <w:t>Tarleton State University</w:t>
      </w:r>
    </w:p>
    <w:p w14:paraId="0B8244E1" w14:textId="77777777" w:rsidR="00901619" w:rsidRPr="00A61D5B" w:rsidRDefault="00901619" w:rsidP="00901619">
      <w:pPr>
        <w:jc w:val="center"/>
        <w:rPr>
          <w:rFonts w:ascii="Times New Roman" w:hAnsi="Times New Roman" w:cs="Times New Roman"/>
        </w:rPr>
      </w:pPr>
    </w:p>
    <w:p w14:paraId="2F11A213"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6AC8177C" w14:textId="77777777" w:rsidR="00901619" w:rsidRPr="00A61D5B" w:rsidRDefault="00901619" w:rsidP="00901619">
      <w:pPr>
        <w:pStyle w:val="BodyText"/>
        <w:spacing w:before="0" w:after="0" w:line="480" w:lineRule="auto"/>
        <w:rPr>
          <w:rFonts w:ascii="Times New Roman" w:hAnsi="Times New Roman" w:cs="Times New Roman"/>
        </w:rPr>
      </w:pPr>
    </w:p>
    <w:p w14:paraId="046BB07A" w14:textId="77777777" w:rsidR="0035396C" w:rsidRPr="00A61D5B" w:rsidRDefault="0035396C" w:rsidP="00901619">
      <w:pPr>
        <w:pStyle w:val="BodyText"/>
        <w:spacing w:before="0" w:after="0" w:line="480" w:lineRule="auto"/>
        <w:rPr>
          <w:rFonts w:ascii="Times New Roman" w:hAnsi="Times New Roman" w:cs="Times New Roman"/>
        </w:rPr>
      </w:pPr>
    </w:p>
    <w:p w14:paraId="325DF0E4" w14:textId="77777777" w:rsidR="0035396C" w:rsidRPr="00A61D5B" w:rsidRDefault="0035396C" w:rsidP="00901619">
      <w:pPr>
        <w:pStyle w:val="BodyText"/>
        <w:spacing w:before="0" w:after="0" w:line="480" w:lineRule="auto"/>
        <w:rPr>
          <w:rFonts w:ascii="Times New Roman" w:hAnsi="Times New Roman" w:cs="Times New Roman"/>
        </w:rPr>
      </w:pPr>
    </w:p>
    <w:p w14:paraId="25831950" w14:textId="77777777" w:rsidR="0035396C" w:rsidRPr="00A61D5B" w:rsidRDefault="0035396C" w:rsidP="0035396C">
      <w:pPr>
        <w:pStyle w:val="Heading11"/>
        <w:spacing w:before="0" w:after="0" w:line="480" w:lineRule="auto"/>
        <w:rPr>
          <w:rFonts w:ascii="Times New Roman" w:hAnsi="Times New Roman" w:cs="Times New Roman"/>
          <w:b w:val="0"/>
          <w:szCs w:val="24"/>
        </w:rPr>
      </w:pPr>
      <w:r w:rsidRPr="00A61D5B">
        <w:rPr>
          <w:rFonts w:ascii="Times New Roman" w:hAnsi="Times New Roman" w:cs="Times New Roman"/>
          <w:b w:val="0"/>
          <w:szCs w:val="24"/>
        </w:rPr>
        <w:t>Author note</w:t>
      </w:r>
    </w:p>
    <w:p w14:paraId="391EEAD7" w14:textId="5BCA1A9E" w:rsidR="00901619" w:rsidRPr="00A61D5B" w:rsidRDefault="00EE77EB" w:rsidP="0035396C">
      <w:pPr>
        <w:pStyle w:val="BodyText"/>
        <w:spacing w:before="0" w:after="0" w:line="480" w:lineRule="auto"/>
        <w:rPr>
          <w:rFonts w:ascii="Times New Roman" w:hAnsi="Times New Roman" w:cs="Times New Roman"/>
          <w:b/>
        </w:rPr>
      </w:pPr>
      <w:r w:rsidRPr="00A61D5B">
        <w:rPr>
          <w:rFonts w:ascii="Times New Roman" w:hAnsi="Times New Roman" w:cs="Times New Roman"/>
        </w:rPr>
        <w:t>Thomas J. Faulkenberry, Department of Psychological Sciences, Tarleton State University; Adriana D. Vick, Department of Psychological Sciences, Tarleton State University; Kristen A. Bowman, Department of Psychological Sciences, Tarleton State University.</w:t>
      </w:r>
      <w:bookmarkStart w:id="1" w:name="author-note"/>
      <w:bookmarkEnd w:id="1"/>
    </w:p>
    <w:p w14:paraId="18290FD3"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 xml:space="preserve">This paper was written in R-Markdown with code for data analysis integrated into the text. The data were </w:t>
      </w:r>
      <w:r w:rsidRPr="00A61D5B">
        <w:rPr>
          <w:rFonts w:ascii="Times New Roman" w:hAnsi="Times New Roman" w:cs="Times New Roman"/>
          <w:i/>
        </w:rPr>
        <w:t>born open</w:t>
      </w:r>
      <w:r w:rsidRPr="00A61D5B">
        <w:rPr>
          <w:rFonts w:ascii="Times New Roman" w:hAnsi="Times New Roman" w:cs="Times New Roman"/>
        </w:rPr>
        <w:t xml:space="preserve"> (Rouder, 2016) and are freely available (along with the Markdown script) at </w:t>
      </w:r>
      <w:hyperlink r:id="rId7">
        <w:r w:rsidRPr="00A61D5B">
          <w:rPr>
            <w:rFonts w:ascii="Times New Roman" w:hAnsi="Times New Roman" w:cs="Times New Roman"/>
          </w:rPr>
          <w:t>https://git.io/vAEE8</w:t>
        </w:r>
      </w:hyperlink>
      <w:r w:rsidRPr="00A61D5B">
        <w:rPr>
          <w:rFonts w:ascii="Times New Roman" w:hAnsi="Times New Roman" w:cs="Times New Roman"/>
        </w:rPr>
        <w:t>.</w:t>
      </w:r>
    </w:p>
    <w:p w14:paraId="7A50CAD2"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Correspondence concerning this article should be addressed to Thomas J. Faulkenberry, Department of Psychological Sciences, Box T-0820, Tarleton State University, Stephenville, TX 76401. E-mail: </w:t>
      </w:r>
      <w:hyperlink r:id="rId8">
        <w:r w:rsidRPr="00A61D5B">
          <w:rPr>
            <w:rFonts w:ascii="Times New Roman" w:hAnsi="Times New Roman" w:cs="Times New Roman"/>
          </w:rPr>
          <w:t>faulkenberry@tarleton.edu</w:t>
        </w:r>
      </w:hyperlink>
    </w:p>
    <w:p w14:paraId="0881CAD6"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4D4EED97" w14:textId="35F6C581" w:rsidR="00663E15" w:rsidRPr="00A61D5B" w:rsidRDefault="00585E18" w:rsidP="00267881">
      <w:pPr>
        <w:pStyle w:val="BodyText"/>
        <w:spacing w:before="0" w:after="0" w:line="480" w:lineRule="auto"/>
        <w:ind w:firstLine="0"/>
        <w:jc w:val="center"/>
        <w:rPr>
          <w:rFonts w:ascii="Times New Roman" w:hAnsi="Times New Roman" w:cs="Times New Roman"/>
        </w:rPr>
      </w:pPr>
      <w:bookmarkStart w:id="2" w:name="abstract"/>
      <w:bookmarkEnd w:id="2"/>
      <w:r w:rsidRPr="00A61D5B">
        <w:rPr>
          <w:rFonts w:ascii="Times New Roman" w:hAnsi="Times New Roman" w:cs="Times New Roman"/>
        </w:rPr>
        <w:lastRenderedPageBreak/>
        <w:t>Abstract</w:t>
      </w:r>
    </w:p>
    <w:p w14:paraId="67FDA6B9" w14:textId="77777777" w:rsidR="00663E15" w:rsidRPr="00A61D5B" w:rsidRDefault="00585E18" w:rsidP="00267881">
      <w:pPr>
        <w:spacing w:before="0" w:after="0" w:line="480" w:lineRule="auto"/>
        <w:ind w:firstLine="0"/>
        <w:rPr>
          <w:rFonts w:ascii="Times New Roman" w:hAnsi="Times New Roman" w:cs="Times New Roman"/>
        </w:rPr>
      </w:pPr>
      <w:r w:rsidRPr="00A61D5B">
        <w:rPr>
          <w:rFonts w:ascii="Times New Roman" w:hAnsi="Times New Roman" w:cs="Times New Roman"/>
        </w:rPr>
        <w:t>Decisions involving comparisons of Arabic number digits often exhibit an interference between the physical size of the digit and the implied numerical magnitude, a phenomenon called the size-congruity effect. Related research over the past four decades has yielded two competing models of the phenomenon: an early interaction account, where interference between numerical and physical magnitude occurs at an early encoding stage, and a late interaction account, where the interference occurs downstream as response competition during the decision process. In the present study, we asked participants to compare the physical sizes of pairs of Arabic digits. We fit the resulting response time distributions with a shifted Wald model, a single boundary accumulator model, which gave us estimates of information accumulation rate (drift rate), response threshold, and nondecision time. We found that incongruity between physical size and numerical magnitude affected the decision-related estimates of drift rate and response threshold. Further, a Bayesian analysis confirmed a null effect of congruity on nondecision time. These results indicate that the observed interference originates from decision-related processes, lending further support for a late interaction account of the size-congruity effect.</w:t>
      </w:r>
    </w:p>
    <w:p w14:paraId="08F2047E"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i/>
        </w:rPr>
        <w:t>Keywords:</w:t>
      </w:r>
      <w:r w:rsidRPr="00A61D5B">
        <w:rPr>
          <w:rFonts w:ascii="Times New Roman" w:hAnsi="Times New Roman" w:cs="Times New Roman"/>
        </w:rPr>
        <w:t xml:space="preserve"> Size congruity effect, response time modeling, accumulator model, shifted Wald distribution</w:t>
      </w:r>
    </w:p>
    <w:p w14:paraId="52F1C194"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1F9C30BF"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4606CB08"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0DA7BBDD"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w:t>
      </w:r>
    </w:p>
    <w:p w14:paraId="76DECB79" w14:textId="77777777" w:rsidR="00663E15" w:rsidRPr="00A61D5B" w:rsidRDefault="00585E18" w:rsidP="00901619">
      <w:pPr>
        <w:pStyle w:val="Heading11"/>
        <w:spacing w:before="0" w:after="0" w:line="480" w:lineRule="auto"/>
        <w:rPr>
          <w:rFonts w:ascii="Times New Roman" w:hAnsi="Times New Roman" w:cs="Times New Roman"/>
          <w:b w:val="0"/>
          <w:szCs w:val="24"/>
        </w:rPr>
      </w:pPr>
      <w:bookmarkStart w:id="3" w:name="a-shifted-wald-decomposition-of-the-nume"/>
      <w:bookmarkEnd w:id="3"/>
      <w:r w:rsidRPr="00A61D5B">
        <w:rPr>
          <w:rFonts w:ascii="Times New Roman" w:hAnsi="Times New Roman" w:cs="Times New Roman"/>
          <w:b w:val="0"/>
          <w:szCs w:val="24"/>
        </w:rPr>
        <w:lastRenderedPageBreak/>
        <w:t>A shifted Wald decomposition of the numerical size-congruity effect: Support for a late interaction account</w:t>
      </w:r>
    </w:p>
    <w:p w14:paraId="5C30D804"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 xml:space="preserve">The ability of humans to compare relative magnitudes is an important skill that is rooted in basic evolutionary mechanisms (Cantlon &amp; Brannon, 2006). This ability is exhibited regularly in two different types of judgments. One type of judgment is based on </w:t>
      </w:r>
      <w:r w:rsidRPr="00A61D5B">
        <w:rPr>
          <w:rFonts w:ascii="Times New Roman" w:hAnsi="Times New Roman" w:cs="Times New Roman"/>
          <w:i/>
        </w:rPr>
        <w:t>physical magnitude</w:t>
      </w:r>
      <w:r w:rsidRPr="00A61D5B">
        <w:rPr>
          <w:rFonts w:ascii="Times New Roman" w:hAnsi="Times New Roman" w:cs="Times New Roman"/>
        </w:rPr>
        <w:t xml:space="preserve">, where competing items are judged based on physical size characteristics (e.g., area, volume, etc.). For example, one might choose the larger of two sandwiches from a plate by deciding which appears to have the larger volume. Another type of judgment is based on </w:t>
      </w:r>
      <w:r w:rsidRPr="00A61D5B">
        <w:rPr>
          <w:rFonts w:ascii="Times New Roman" w:hAnsi="Times New Roman" w:cs="Times New Roman"/>
          <w:i/>
        </w:rPr>
        <w:t>numerical magnitude</w:t>
      </w:r>
      <w:r w:rsidRPr="00A61D5B">
        <w:rPr>
          <w:rFonts w:ascii="Times New Roman" w:hAnsi="Times New Roman" w:cs="Times New Roman"/>
        </w:rPr>
        <w:t xml:space="preserve">, where competing items are judged based on numerosity. For example, when buying grapes in a grocery store, a shopper might choose one bunch that appears to contain many grapes over another bunch that appears to contain fewer grapes. On the surface, these two types of judgments seem quite distinct, as they appear to ask different questions – a physical magnitude judgment asks “how much?”, whereas a numerical magnitude judgment asks “how many?” In spite of this appearance, these two types of judgments can interact in the context of </w:t>
      </w:r>
      <w:r w:rsidRPr="00A61D5B">
        <w:rPr>
          <w:rFonts w:ascii="Times New Roman" w:hAnsi="Times New Roman" w:cs="Times New Roman"/>
          <w:i/>
        </w:rPr>
        <w:t>symbolic</w:t>
      </w:r>
      <w:r w:rsidRPr="00A61D5B">
        <w:rPr>
          <w:rFonts w:ascii="Times New Roman" w:hAnsi="Times New Roman" w:cs="Times New Roman"/>
        </w:rPr>
        <w:t xml:space="preserve"> number judgments, where the items to be compared (Arabic number digits) possess both physical magnitude (the physical size of the number digit) and numerical magnitude (the underlying quantity represented by the number digit). The purpose of the present study is to examine the interaction between physical and numerical magnitude in symbolic number judgments.</w:t>
      </w:r>
    </w:p>
    <w:p w14:paraId="58DC036B" w14:textId="119A3B6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An example of this interaction occurs in a typical laboratory task where a participant is presented with two number symbols, but one number is presented in a larger font than the other (see Figure </w:t>
      </w:r>
      <w:r w:rsidR="004614AA" w:rsidRPr="00A61D5B">
        <w:rPr>
          <w:rFonts w:ascii="Times New Roman" w:hAnsi="Times New Roman" w:cs="Times New Roman"/>
        </w:rPr>
        <w:t>1</w:t>
      </w:r>
      <w:r w:rsidRPr="00A61D5B">
        <w:rPr>
          <w:rFonts w:ascii="Times New Roman" w:hAnsi="Times New Roman" w:cs="Times New Roman"/>
        </w:rPr>
        <w:t xml:space="preserve">). Suppose further that the participant is asked to ignore numerical value and choose the </w:t>
      </w:r>
      <w:r w:rsidRPr="00A61D5B">
        <w:rPr>
          <w:rFonts w:ascii="Times New Roman" w:hAnsi="Times New Roman" w:cs="Times New Roman"/>
          <w:i/>
        </w:rPr>
        <w:t>physically</w:t>
      </w:r>
      <w:r w:rsidRPr="00A61D5B">
        <w:rPr>
          <w:rFonts w:ascii="Times New Roman" w:hAnsi="Times New Roman" w:cs="Times New Roman"/>
        </w:rPr>
        <w:t xml:space="preserve"> larger digit. Even though numerical magnitude is irrelevant to this comparison task, participants are usually slower to respond on trials where physical and numerical magnitude are incongruent with each other (e.g., a large 2 paired with a small 8, as </w:t>
      </w:r>
      <w:r w:rsidRPr="00A61D5B">
        <w:rPr>
          <w:rFonts w:ascii="Times New Roman" w:hAnsi="Times New Roman" w:cs="Times New Roman"/>
        </w:rPr>
        <w:lastRenderedPageBreak/>
        <w:t xml:space="preserve">in the right panel of Figure </w:t>
      </w:r>
      <w:r w:rsidR="004614AA" w:rsidRPr="00A61D5B">
        <w:rPr>
          <w:rFonts w:ascii="Times New Roman" w:hAnsi="Times New Roman" w:cs="Times New Roman"/>
        </w:rPr>
        <w:t>1</w:t>
      </w:r>
      <w:r w:rsidRPr="00A61D5B">
        <w:rPr>
          <w:rFonts w:ascii="Times New Roman" w:hAnsi="Times New Roman" w:cs="Times New Roman"/>
        </w:rPr>
        <w:t>), compared to trials on which physical and numerical size are congruent (e.g., a small 2 paired with a large 8, as in the left panel of Figure</w:t>
      </w:r>
      <w:r w:rsidR="004614AA" w:rsidRPr="00A61D5B">
        <w:rPr>
          <w:rFonts w:ascii="Times New Roman" w:hAnsi="Times New Roman" w:cs="Times New Roman"/>
        </w:rPr>
        <w:t xml:space="preserve"> 1</w:t>
      </w:r>
      <w:r w:rsidRPr="00A61D5B">
        <w:rPr>
          <w:rFonts w:ascii="Times New Roman" w:hAnsi="Times New Roman" w:cs="Times New Roman"/>
        </w:rPr>
        <w:t xml:space="preserve">). This relative slowdown in the magnitude comparison is called the </w:t>
      </w:r>
      <w:r w:rsidRPr="00A61D5B">
        <w:rPr>
          <w:rFonts w:ascii="Times New Roman" w:hAnsi="Times New Roman" w:cs="Times New Roman"/>
          <w:i/>
        </w:rPr>
        <w:t>size-congruity effect</w:t>
      </w:r>
      <w:r w:rsidRPr="00A61D5B">
        <w:rPr>
          <w:rFonts w:ascii="Times New Roman" w:hAnsi="Times New Roman" w:cs="Times New Roman"/>
        </w:rPr>
        <w:t>, a well-studied phenomenon in the fields of decision making and numerical cognition (Faulkenberry, Cruise, Lavro, &amp; Shaki, 2016; Henik &amp; Tzelgov, 1982; Paivio, 1975; Schwarz &amp; Heinze, 1998).</w:t>
      </w:r>
    </w:p>
    <w:p w14:paraId="7B194D5A"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Though it is itself a curious result, the size-congruity effect may perhaps be more important for the subsequent debate it has generated concerning the nature of number representation. According to one theoretical account, the size-congruity effect occurs because a digit’s physical size and numerical magnitude are both encoded into a common, analog represention, upon which further processing occurs in a serial fashion. This </w:t>
      </w:r>
      <w:r w:rsidRPr="00A61D5B">
        <w:rPr>
          <w:rFonts w:ascii="Times New Roman" w:hAnsi="Times New Roman" w:cs="Times New Roman"/>
          <w:i/>
        </w:rPr>
        <w:t>early interaction</w:t>
      </w:r>
      <w:r w:rsidRPr="00A61D5B">
        <w:rPr>
          <w:rFonts w:ascii="Times New Roman" w:hAnsi="Times New Roman" w:cs="Times New Roman"/>
        </w:rPr>
        <w:t xml:space="preserve"> account (Reike &amp; Schwarz, 2017; Schwarz &amp; Heinze, 1998; Szűcs &amp; Soltész, 2007, 2008) predicts that the relative slowdown on incongruent trials is due to interference at the </w:t>
      </w:r>
      <w:r w:rsidRPr="00A61D5B">
        <w:rPr>
          <w:rFonts w:ascii="Times New Roman" w:hAnsi="Times New Roman" w:cs="Times New Roman"/>
          <w:i/>
        </w:rPr>
        <w:t>encoding</w:t>
      </w:r>
      <w:r w:rsidRPr="00A61D5B">
        <w:rPr>
          <w:rFonts w:ascii="Times New Roman" w:hAnsi="Times New Roman" w:cs="Times New Roman"/>
        </w:rPr>
        <w:t xml:space="preserve"> stage.</w:t>
      </w:r>
    </w:p>
    <w:p w14:paraId="14B978BF"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An alternative account posits that physical size and numerical magnitude are encoded separately along independent pathways, and the interference between physical size and numerical magnitude occurs as competition between parallel and partially active response options (Faulkenberry et al., 2016; Santens &amp; Verguts, 2011). In contrast to the early interaction account, this </w:t>
      </w:r>
      <w:r w:rsidRPr="00A61D5B">
        <w:rPr>
          <w:rFonts w:ascii="Times New Roman" w:hAnsi="Times New Roman" w:cs="Times New Roman"/>
          <w:i/>
        </w:rPr>
        <w:t>late interaction</w:t>
      </w:r>
      <w:r w:rsidRPr="00A61D5B">
        <w:rPr>
          <w:rFonts w:ascii="Times New Roman" w:hAnsi="Times New Roman" w:cs="Times New Roman"/>
        </w:rPr>
        <w:t xml:space="preserve"> account predicts that the locus of the size-congruity effect is not in the encoding stage, but rather in the </w:t>
      </w:r>
      <w:r w:rsidRPr="00A61D5B">
        <w:rPr>
          <w:rFonts w:ascii="Times New Roman" w:hAnsi="Times New Roman" w:cs="Times New Roman"/>
          <w:i/>
        </w:rPr>
        <w:t>decision</w:t>
      </w:r>
      <w:r w:rsidRPr="00A61D5B">
        <w:rPr>
          <w:rFonts w:ascii="Times New Roman" w:hAnsi="Times New Roman" w:cs="Times New Roman"/>
        </w:rPr>
        <w:t xml:space="preserve"> stage.</w:t>
      </w:r>
    </w:p>
    <w:p w14:paraId="2A5A0564"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 variety of paradigms have been employed to test between these competing models of the size-congruity effect, including classical response time (RT) tasks (Henik &amp; Tzelgov, 1982), electrophysiological techniques (Schwarz &amp; Heinze, 1998; Szűcs &amp; Soltész, 2007, 2008), neuroimaging (R. Cohen Kadosh et al., 2007), computer mouse tracking (Faulkenberry et al., 2016), and visual search (Krause, Bekkering, Pratt, &amp; Lindemann, 2016; Sobel, Puri, &amp; Faulkenberry, 2016; Sobel, Puri, Faulkenberry, &amp; Dague, 2017). However, the </w:t>
      </w:r>
      <w:r w:rsidRPr="00A61D5B">
        <w:rPr>
          <w:rFonts w:ascii="Times New Roman" w:hAnsi="Times New Roman" w:cs="Times New Roman"/>
        </w:rPr>
        <w:lastRenderedPageBreak/>
        <w:t>evidence is quite mixed, and as such, a clear consensus on the origin of the size-congruity effect remains elusive.</w:t>
      </w:r>
    </w:p>
    <w:p w14:paraId="5A8D842D"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 potentially fruitful method for elucidating the nature of the size-congruity effect may come from employing </w:t>
      </w:r>
      <w:r w:rsidRPr="00A61D5B">
        <w:rPr>
          <w:rFonts w:ascii="Times New Roman" w:hAnsi="Times New Roman" w:cs="Times New Roman"/>
          <w:i/>
        </w:rPr>
        <w:t>accumulator models</w:t>
      </w:r>
      <w:r w:rsidRPr="00A61D5B">
        <w:rPr>
          <w:rFonts w:ascii="Times New Roman" w:hAnsi="Times New Roman" w:cs="Times New Roman"/>
        </w:rPr>
        <w:t xml:space="preserve"> to describe the </w:t>
      </w:r>
      <w:r w:rsidRPr="00A61D5B">
        <w:rPr>
          <w:rFonts w:ascii="Times New Roman" w:hAnsi="Times New Roman" w:cs="Times New Roman"/>
          <w:i/>
        </w:rPr>
        <w:t>distributions</w:t>
      </w:r>
      <w:r w:rsidRPr="00A61D5B">
        <w:rPr>
          <w:rFonts w:ascii="Times New Roman" w:hAnsi="Times New Roman" w:cs="Times New Roman"/>
        </w:rPr>
        <w:t xml:space="preserve"> of RTs that are produced in the comparison task. Generally speaking, an accumulator model posits that responses in decision tasks stem from a process that involves noisy accumulation of stimulus information over time. When the accumulated information reaches a certain threshold, a response is initiated. An advantage of using an accumulator model for modeling RTs is that by fitting such a model, one obtains estimates of distributional parameters that can directly index the underlying cognitive processes involved in the decision, such as the rate of information accumulation, the response threshold, and the duration of non-decision processes including encoding and response production (Anders, Alario, &amp; Maanen, 2016). Further, these models are quite good at describing the shape of typical RT distributions, which tend to be positively skewed (Luce, 1986). From a measurement standpoint, this allows one to model the effects of experimental manipulations on the </w:t>
      </w:r>
      <w:r w:rsidRPr="00A61D5B">
        <w:rPr>
          <w:rFonts w:ascii="Times New Roman" w:hAnsi="Times New Roman" w:cs="Times New Roman"/>
          <w:i/>
        </w:rPr>
        <w:t>entire distribution</w:t>
      </w:r>
      <w:r w:rsidRPr="00A61D5B">
        <w:rPr>
          <w:rFonts w:ascii="Times New Roman" w:hAnsi="Times New Roman" w:cs="Times New Roman"/>
        </w:rPr>
        <w:t xml:space="preserve"> of RTs, rather than simply modeling the effects of manipulations on the collapsed means or medians. The use of accumulator models has a rich history in the behavioral sciences (Link &amp; Heath, 1975; Luce, 1986; Ratcliff &amp; McKoon, 2008; Ratcliff, Smith, Brown, &amp; McKoon, 2016). However, the use of such models has been relatively limited in the context of numerical cognition.</w:t>
      </w:r>
    </w:p>
    <w:p w14:paraId="02148AB1"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Whereas some accumulator models have been quite well studied in the context of two-choice decision tasks, such as the drift diffusion model (Ratcliff et al., 2016) and the linear ballistic accumulator model (Brown &amp; Heathcote, 2008; Heathcote &amp; Hayes, 2012), such models are typically best suited for tasks in which the error rate is sufficiently large (Anders et al., 2016). As a consequence, these models are difficult to fit in tasks with very low error rates, such as the ones typically employed in the context of single-digit symbolic number </w:t>
      </w:r>
      <w:r w:rsidRPr="00A61D5B">
        <w:rPr>
          <w:rFonts w:ascii="Times New Roman" w:hAnsi="Times New Roman" w:cs="Times New Roman"/>
        </w:rPr>
        <w:lastRenderedPageBreak/>
        <w:t xml:space="preserve">representations. An alternative to the drift diffusion and linear ballistic accumulator models is the </w:t>
      </w:r>
      <w:r w:rsidRPr="00A61D5B">
        <w:rPr>
          <w:rFonts w:ascii="Times New Roman" w:hAnsi="Times New Roman" w:cs="Times New Roman"/>
          <w:i/>
        </w:rPr>
        <w:t>shifted Wald model</w:t>
      </w:r>
      <w:r w:rsidRPr="00A61D5B">
        <w:rPr>
          <w:rFonts w:ascii="Times New Roman" w:hAnsi="Times New Roman" w:cs="Times New Roman"/>
        </w:rPr>
        <w:t xml:space="preserve"> (Anders et al., 2016; Schwarz, 2001). The shifted Wald model is a </w:t>
      </w:r>
      <w:r w:rsidRPr="00A61D5B">
        <w:rPr>
          <w:rFonts w:ascii="Times New Roman" w:hAnsi="Times New Roman" w:cs="Times New Roman"/>
          <w:i/>
        </w:rPr>
        <w:t>single</w:t>
      </w:r>
      <w:r w:rsidRPr="00A61D5B">
        <w:rPr>
          <w:rFonts w:ascii="Times New Roman" w:hAnsi="Times New Roman" w:cs="Times New Roman"/>
        </w:rPr>
        <w:t xml:space="preserve">-boundary accumulator model whose probability density represents the distribution of first-passage times of a continuous diffusion process that drifts (with rate </w:t>
      </w:r>
      <m:oMath>
        <m:r>
          <w:rPr>
            <w:rFonts w:ascii="Cambria Math" w:hAnsi="Cambria Math" w:cs="Times New Roman"/>
          </w:rPr>
          <m:t>γ</m:t>
        </m:r>
      </m:oMath>
      <w:r w:rsidRPr="00A61D5B">
        <w:rPr>
          <w:rFonts w:ascii="Times New Roman" w:hAnsi="Times New Roman" w:cs="Times New Roman"/>
        </w:rPr>
        <w:t xml:space="preserve">) toward a single boundary of height </w:t>
      </w:r>
      <m:oMath>
        <m:r>
          <w:rPr>
            <w:rFonts w:ascii="Cambria Math" w:hAnsi="Cambria Math" w:cs="Times New Roman"/>
          </w:rPr>
          <m:t>α</m:t>
        </m:r>
      </m:oMath>
      <w:r w:rsidRPr="00A61D5B">
        <w:rPr>
          <w:rFonts w:ascii="Times New Roman" w:hAnsi="Times New Roman" w:cs="Times New Roman"/>
        </w:rPr>
        <w:t>. Mathematically, the probability density is given by</w:t>
      </w:r>
    </w:p>
    <w:p w14:paraId="691961B2" w14:textId="77777777" w:rsidR="00663E15" w:rsidRPr="00A61D5B" w:rsidRDefault="00585E18" w:rsidP="00901619">
      <w:pPr>
        <w:pStyle w:val="BodyText"/>
        <w:spacing w:before="0" w:after="0" w:line="480" w:lineRule="auto"/>
        <w:rPr>
          <w:rFonts w:ascii="Times New Roman" w:hAnsi="Times New Roman" w:cs="Times New Roman"/>
        </w:rPr>
      </w:pPr>
      <m:oMathPara>
        <m:oMathParaPr>
          <m:jc m:val="center"/>
        </m:oMathParaPr>
        <m:oMath>
          <m:r>
            <w:rPr>
              <w:rFonts w:ascii="Cambria Math" w:hAnsi="Cambria Math" w:cs="Times New Roman"/>
            </w:rPr>
            <m:t>f(x∣γ,α,θ)=</m:t>
          </m:r>
          <m:f>
            <m:fPr>
              <m:ctrlPr>
                <w:rPr>
                  <w:rFonts w:ascii="Cambria Math" w:hAnsi="Cambria Math" w:cs="Times New Roman"/>
                </w:rPr>
              </m:ctrlPr>
            </m:fPr>
            <m:num>
              <m:r>
                <w:rPr>
                  <w:rFonts w:ascii="Cambria Math" w:hAnsi="Cambria Math" w:cs="Times New Roman"/>
                </w:rPr>
                <m:t>α</m:t>
              </m:r>
            </m:num>
            <m:den>
              <m:rad>
                <m:radPr>
                  <m:degHide m:val="1"/>
                  <m:ctrlPr>
                    <w:rPr>
                      <w:rFonts w:ascii="Cambria Math" w:hAnsi="Cambria Math" w:cs="Times New Roman"/>
                    </w:rPr>
                  </m:ctrlPr>
                </m:radPr>
                <m:deg/>
                <m:e>
                  <m:r>
                    <w:rPr>
                      <w:rFonts w:ascii="Cambria Math" w:hAnsi="Cambria Math" w:cs="Times New Roman"/>
                    </w:rPr>
                    <m:t>2π(x-θ</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e>
              </m:rad>
            </m:den>
          </m:f>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(α-γ(x-θ)</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2(x-θ)</m:t>
              </m:r>
            </m:den>
          </m:f>
          <m:r>
            <w:rPr>
              <w:rFonts w:ascii="Cambria Math" w:hAnsi="Cambria Math" w:cs="Times New Roman"/>
            </w:rPr>
            <m:t>)</m:t>
          </m:r>
        </m:oMath>
      </m:oMathPara>
    </w:p>
    <w:p w14:paraId="0DC5C8C1" w14:textId="28D1BD25"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 xml:space="preserve">where </w:t>
      </w:r>
      <m:oMath>
        <m:r>
          <w:rPr>
            <w:rFonts w:ascii="Cambria Math" w:hAnsi="Cambria Math" w:cs="Times New Roman"/>
          </w:rPr>
          <m:t>x&gt;0</m:t>
        </m:r>
      </m:oMath>
      <w:r w:rsidRPr="00A61D5B">
        <w:rPr>
          <w:rFonts w:ascii="Times New Roman" w:hAnsi="Times New Roman" w:cs="Times New Roman"/>
        </w:rPr>
        <w:t xml:space="preserve"> represents a specific data point (i.e., a single response time), </w:t>
      </w:r>
      <m:oMath>
        <m:r>
          <w:rPr>
            <w:rFonts w:ascii="Cambria Math" w:hAnsi="Cambria Math" w:cs="Times New Roman"/>
          </w:rPr>
          <m:t>γ</m:t>
        </m:r>
      </m:oMath>
      <w:r w:rsidRPr="00A61D5B">
        <w:rPr>
          <w:rFonts w:ascii="Times New Roman" w:hAnsi="Times New Roman" w:cs="Times New Roman"/>
        </w:rPr>
        <w:t xml:space="preserve"> is the </w:t>
      </w:r>
      <w:r w:rsidRPr="00A61D5B">
        <w:rPr>
          <w:rFonts w:ascii="Times New Roman" w:hAnsi="Times New Roman" w:cs="Times New Roman"/>
          <w:i/>
        </w:rPr>
        <w:t>drift rate</w:t>
      </w:r>
      <w:r w:rsidRPr="00A61D5B">
        <w:rPr>
          <w:rFonts w:ascii="Times New Roman" w:hAnsi="Times New Roman" w:cs="Times New Roman"/>
        </w:rPr>
        <w:t xml:space="preserve">, </w:t>
      </w:r>
      <m:oMath>
        <m:r>
          <w:rPr>
            <w:rFonts w:ascii="Cambria Math" w:hAnsi="Cambria Math" w:cs="Times New Roman"/>
          </w:rPr>
          <m:t>α</m:t>
        </m:r>
      </m:oMath>
      <w:r w:rsidRPr="00A61D5B">
        <w:rPr>
          <w:rFonts w:ascii="Times New Roman" w:hAnsi="Times New Roman" w:cs="Times New Roman"/>
        </w:rPr>
        <w:t xml:space="preserve"> is the </w:t>
      </w:r>
      <w:r w:rsidRPr="00A61D5B">
        <w:rPr>
          <w:rFonts w:ascii="Times New Roman" w:hAnsi="Times New Roman" w:cs="Times New Roman"/>
          <w:i/>
        </w:rPr>
        <w:t>response threshold</w:t>
      </w:r>
      <w:r w:rsidRPr="00A61D5B">
        <w:rPr>
          <w:rFonts w:ascii="Times New Roman" w:hAnsi="Times New Roman" w:cs="Times New Roman"/>
        </w:rPr>
        <w:t xml:space="preserve">, and </w:t>
      </w:r>
      <m:oMath>
        <m:r>
          <w:rPr>
            <w:rFonts w:ascii="Cambria Math" w:hAnsi="Cambria Math" w:cs="Times New Roman"/>
          </w:rPr>
          <m:t>θ</m:t>
        </m:r>
      </m:oMath>
      <w:r w:rsidRPr="00A61D5B">
        <w:rPr>
          <w:rFonts w:ascii="Times New Roman" w:hAnsi="Times New Roman" w:cs="Times New Roman"/>
        </w:rPr>
        <w:t xml:space="preserve"> is a rightward shift of the entire distribution that represents </w:t>
      </w:r>
      <w:r w:rsidRPr="00A61D5B">
        <w:rPr>
          <w:rFonts w:ascii="Times New Roman" w:hAnsi="Times New Roman" w:cs="Times New Roman"/>
          <w:i/>
        </w:rPr>
        <w:t>nondecision time</w:t>
      </w:r>
      <w:r w:rsidRPr="00A61D5B">
        <w:rPr>
          <w:rFonts w:ascii="Times New Roman" w:hAnsi="Times New Roman" w:cs="Times New Roman"/>
        </w:rPr>
        <w:t xml:space="preserve">. Descriptively, each parameter characterizes a specific characteristic of the distribution’s appearance. This can be seen in Figure </w:t>
      </w:r>
      <w:r w:rsidR="004614AA" w:rsidRPr="00A61D5B">
        <w:rPr>
          <w:rFonts w:ascii="Times New Roman" w:hAnsi="Times New Roman" w:cs="Times New Roman"/>
        </w:rPr>
        <w:t>2</w:t>
      </w:r>
      <w:r w:rsidRPr="00A61D5B">
        <w:rPr>
          <w:rFonts w:ascii="Times New Roman" w:hAnsi="Times New Roman" w:cs="Times New Roman"/>
        </w:rPr>
        <w:t xml:space="preserve">, which depicts the effect of selectively increasing each shifted Wald parameter. Increasing drift rate </w:t>
      </w:r>
      <m:oMath>
        <m:r>
          <w:rPr>
            <w:rFonts w:ascii="Cambria Math" w:hAnsi="Cambria Math" w:cs="Times New Roman"/>
          </w:rPr>
          <m:t>γ</m:t>
        </m:r>
      </m:oMath>
      <w:r w:rsidRPr="00A61D5B">
        <w:rPr>
          <w:rFonts w:ascii="Times New Roman" w:hAnsi="Times New Roman" w:cs="Times New Roman"/>
        </w:rPr>
        <w:t xml:space="preserve"> results in a “spreading out” of the distribution, but leaves the mode relatively stable. Increasing response threshold </w:t>
      </w:r>
      <m:oMath>
        <m:r>
          <w:rPr>
            <w:rFonts w:ascii="Cambria Math" w:hAnsi="Cambria Math" w:cs="Times New Roman"/>
          </w:rPr>
          <m:t>α</m:t>
        </m:r>
      </m:oMath>
      <w:r w:rsidRPr="00A61D5B">
        <w:rPr>
          <w:rFonts w:ascii="Times New Roman" w:hAnsi="Times New Roman" w:cs="Times New Roman"/>
        </w:rPr>
        <w:t xml:space="preserve"> increases variance to a lesser extent than does an increase of </w:t>
      </w:r>
      <m:oMath>
        <m:r>
          <w:rPr>
            <w:rFonts w:ascii="Cambria Math" w:hAnsi="Cambria Math" w:cs="Times New Roman"/>
          </w:rPr>
          <m:t>γ</m:t>
        </m:r>
      </m:oMath>
      <w:r w:rsidRPr="00A61D5B">
        <w:rPr>
          <w:rFonts w:ascii="Times New Roman" w:hAnsi="Times New Roman" w:cs="Times New Roman"/>
        </w:rPr>
        <w:t xml:space="preserve">, but the mode is shifted quite substantially rightward. Increasing nondecision time </w:t>
      </w:r>
      <m:oMath>
        <m:r>
          <w:rPr>
            <w:rFonts w:ascii="Cambria Math" w:hAnsi="Cambria Math" w:cs="Times New Roman"/>
          </w:rPr>
          <m:t>θ</m:t>
        </m:r>
      </m:oMath>
      <w:r w:rsidRPr="00A61D5B">
        <w:rPr>
          <w:rFonts w:ascii="Times New Roman" w:hAnsi="Times New Roman" w:cs="Times New Roman"/>
        </w:rPr>
        <w:t xml:space="preserve"> does not change the variance, but instead results in a pure “shift” of the distribution rightward.</w:t>
      </w:r>
    </w:p>
    <w:p w14:paraId="7068BFE5"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An important consideration for the present study is that each of the three shifted Wald parameters can be interpreted as an index of specific cognitive processes (Anders et al., 2016; Heathcote, 2004; Schwarz, 2001). Specifically, drift rate </w:t>
      </w:r>
      <m:oMath>
        <m:r>
          <w:rPr>
            <w:rFonts w:ascii="Cambria Math" w:hAnsi="Cambria Math" w:cs="Times New Roman"/>
          </w:rPr>
          <m:t>γ</m:t>
        </m:r>
      </m:oMath>
      <w:r w:rsidRPr="00A61D5B">
        <w:rPr>
          <w:rFonts w:ascii="Times New Roman" w:hAnsi="Times New Roman" w:cs="Times New Roman"/>
        </w:rPr>
        <w:t xml:space="preserve"> indexes rate of information uptake from stimuli, response threshold </w:t>
      </w:r>
      <m:oMath>
        <m:r>
          <w:rPr>
            <w:rFonts w:ascii="Cambria Math" w:hAnsi="Cambria Math" w:cs="Times New Roman"/>
          </w:rPr>
          <m:t>α</m:t>
        </m:r>
      </m:oMath>
      <w:r w:rsidRPr="00A61D5B">
        <w:rPr>
          <w:rFonts w:ascii="Times New Roman" w:hAnsi="Times New Roman" w:cs="Times New Roman"/>
        </w:rPr>
        <w:t xml:space="preserve"> indexes response caution (that is, the amount of accumulated information required before initiating a response), and nondecision time </w:t>
      </w:r>
      <m:oMath>
        <m:r>
          <w:rPr>
            <w:rFonts w:ascii="Cambria Math" w:hAnsi="Cambria Math" w:cs="Times New Roman"/>
          </w:rPr>
          <m:t>θ</m:t>
        </m:r>
      </m:oMath>
      <w:r w:rsidRPr="00A61D5B">
        <w:rPr>
          <w:rFonts w:ascii="Times New Roman" w:hAnsi="Times New Roman" w:cs="Times New Roman"/>
        </w:rPr>
        <w:t xml:space="preserve"> indexes processes not related to the accumulation process, such as stimulus encoding and response production. For example, Anders, Riès, Maanen, and Alario (2015) fit RT distributions in a picture naming task and found that greater semantic interference resulted in slower drift rate (i.e., slower information accumulation) and larger response threshold, but no </w:t>
      </w:r>
      <w:r w:rsidRPr="00A61D5B">
        <w:rPr>
          <w:rFonts w:ascii="Times New Roman" w:hAnsi="Times New Roman" w:cs="Times New Roman"/>
        </w:rPr>
        <w:lastRenderedPageBreak/>
        <w:t>change in nondecision time. These effects on the shifted Wald parameters were largely consistent with predictions of the “dark-side model”, a model of lexical choice in psycholinguistics (Oppenheim, Dell, &amp; Schwartz, 2010). Another example in the context of numerical cognition comes from Faulkenberry (2017), who had participants complete an addition verification task under varying problem formats (words or digits). He found that presenting problems in word format resulted in a decrease in drift rate, concluding that the effect of problem format is not isolated to the encoding stage, but rather has a direct impact on calculation processes as well. This result was interpreted as support for an interactive model of mental arithmetic processing (Campbell &amp; Clark, 1988; Campbell &amp; Epp, 2004).</w:t>
      </w:r>
    </w:p>
    <w:p w14:paraId="7D96A3D5"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Against this background, the aim of the present study is to use the shifted Wald distribution as a model to permit a fine-grained examination of the size-congruity effect. Instead of collapsing participants’ RT distributions to single-valued summary statistics (e.g., means or medians) and examining the effect of physical-numerical size congruity on these means/medians, we instead fit the distributions to a shifted Wald distribution, which yields estimates of drift rate, response threshold, and nondecision time in each experimental condition. If the early interaction account is correct, one should expect the size congruity effects to stem from the encoding stage, and thus, one should see a congruity effect on our estimates of nondecision time. If, on the other hand, the late interaction account is correct, the size congruity effect should stem from decision processes, and thus, one should see congruity effects on our estimates of drift rate and response threshold.</w:t>
      </w:r>
    </w:p>
    <w:p w14:paraId="17181519" w14:textId="77777777" w:rsidR="00663E15" w:rsidRPr="00A61D5B" w:rsidRDefault="00585E18" w:rsidP="00901619">
      <w:pPr>
        <w:pStyle w:val="Heading11"/>
        <w:spacing w:before="0" w:after="0" w:line="480" w:lineRule="auto"/>
        <w:rPr>
          <w:rFonts w:ascii="Times New Roman" w:hAnsi="Times New Roman" w:cs="Times New Roman"/>
          <w:szCs w:val="24"/>
        </w:rPr>
      </w:pPr>
      <w:bookmarkStart w:id="4" w:name="method"/>
      <w:bookmarkEnd w:id="4"/>
      <w:r w:rsidRPr="00A61D5B">
        <w:rPr>
          <w:rFonts w:ascii="Times New Roman" w:hAnsi="Times New Roman" w:cs="Times New Roman"/>
          <w:szCs w:val="24"/>
        </w:rPr>
        <w:t>Method</w:t>
      </w:r>
    </w:p>
    <w:p w14:paraId="11EE1728" w14:textId="77777777" w:rsidR="00663E15" w:rsidRPr="00A61D5B" w:rsidRDefault="00585E18" w:rsidP="00901619">
      <w:pPr>
        <w:pStyle w:val="Heading21"/>
        <w:spacing w:before="0" w:line="480" w:lineRule="auto"/>
        <w:rPr>
          <w:rFonts w:ascii="Times New Roman" w:hAnsi="Times New Roman" w:cs="Times New Roman"/>
          <w:szCs w:val="24"/>
        </w:rPr>
      </w:pPr>
      <w:bookmarkStart w:id="5" w:name="participants"/>
      <w:bookmarkEnd w:id="5"/>
      <w:r w:rsidRPr="00A61D5B">
        <w:rPr>
          <w:rFonts w:ascii="Times New Roman" w:hAnsi="Times New Roman" w:cs="Times New Roman"/>
          <w:szCs w:val="24"/>
        </w:rPr>
        <w:t>Participants</w:t>
      </w:r>
    </w:p>
    <w:p w14:paraId="75FB2069"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Twenty-three undergraduate psychology students participated in the experiment for partial course credit. Informed consent was obtained from all individuals who participated in the study.</w:t>
      </w:r>
    </w:p>
    <w:p w14:paraId="3E1755E7" w14:textId="77777777" w:rsidR="00663E15" w:rsidRPr="00A61D5B" w:rsidRDefault="00585E18" w:rsidP="00901619">
      <w:pPr>
        <w:pStyle w:val="Heading21"/>
        <w:spacing w:before="0" w:line="480" w:lineRule="auto"/>
        <w:rPr>
          <w:rFonts w:ascii="Times New Roman" w:hAnsi="Times New Roman" w:cs="Times New Roman"/>
          <w:szCs w:val="24"/>
        </w:rPr>
      </w:pPr>
      <w:bookmarkStart w:id="6" w:name="stimuli-and-procedure"/>
      <w:bookmarkEnd w:id="6"/>
      <w:r w:rsidRPr="00A61D5B">
        <w:rPr>
          <w:rFonts w:ascii="Times New Roman" w:hAnsi="Times New Roman" w:cs="Times New Roman"/>
          <w:szCs w:val="24"/>
        </w:rPr>
        <w:lastRenderedPageBreak/>
        <w:t>Stimuli and procedure</w:t>
      </w:r>
    </w:p>
    <w:p w14:paraId="20475F34"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The experiment was implemented via the OpenSesame software package (Mathôt, Schreij, &amp; Theeuwes, 2011), which was run on a 20 inch iMac computer with a screen resolution of 1680 x 1050 pixels. Participants used a standard Dell keyboard for input. At the beginning of the experiment, participants were told that they would be presented with pairs of numbers, with each number being displayed in a different font size. Furthermore, they were told to quickly and accurately indicate (via a keypress) which digit was physically larger, pressing the “A” key if the number on the left was larger, and pressing the “L” key if the number on the right was larger.</w:t>
      </w:r>
    </w:p>
    <w:p w14:paraId="6D1C1106"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The number pairs were constructed from the single-digit Arabic numerals 2, 3, 4, 5, 6, 7, and 8. Pairs were chosen in order to balance the numerical distance between numerals. Ignoring order, there were 12 possible pairs of numbers: 2-3, 3-4, 4-5 (distance 1); 2-4, 3-5, 4-6 (distance 2); 2-5, 3-6, 4-7 (distance 3); 2-6, 3-7, 4-8 (distance 4).</w:t>
      </w:r>
    </w:p>
    <w:p w14:paraId="68C609CA"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The size-congruity manipulation was created by varying the font size of each digit in the number pair. Specifically, the physically smaller digit was presented in 28 point font, whereas the physically larger of the pair was presented in 36 point font. This resulted in two different congruity conditions – </w:t>
      </w:r>
      <w:r w:rsidRPr="00A61D5B">
        <w:rPr>
          <w:rFonts w:ascii="Times New Roman" w:hAnsi="Times New Roman" w:cs="Times New Roman"/>
          <w:i/>
        </w:rPr>
        <w:t>congruent</w:t>
      </w:r>
      <w:r w:rsidRPr="00A61D5B">
        <w:rPr>
          <w:rFonts w:ascii="Times New Roman" w:hAnsi="Times New Roman" w:cs="Times New Roman"/>
        </w:rPr>
        <w:t xml:space="preserve"> trials, in which the numerically larger digit was also physically larger, and </w:t>
      </w:r>
      <w:r w:rsidRPr="00A61D5B">
        <w:rPr>
          <w:rFonts w:ascii="Times New Roman" w:hAnsi="Times New Roman" w:cs="Times New Roman"/>
          <w:i/>
        </w:rPr>
        <w:t>incongruent</w:t>
      </w:r>
      <w:r w:rsidRPr="00A61D5B">
        <w:rPr>
          <w:rFonts w:ascii="Times New Roman" w:hAnsi="Times New Roman" w:cs="Times New Roman"/>
        </w:rPr>
        <w:t xml:space="preserve"> trials, in which the numerically larger digit was physically smaller. Each pair was also presented in two different left-right orders and two different font configurations (smaller/left;larger/right or smaller/right;larger/left). In all, this resulted in </w:t>
      </w:r>
      <m:oMath>
        <m:r>
          <w:rPr>
            <w:rFonts w:ascii="Cambria Math" w:hAnsi="Cambria Math" w:cs="Times New Roman"/>
          </w:rPr>
          <m:t>12×2×2×2=96</m:t>
        </m:r>
      </m:oMath>
      <w:r w:rsidRPr="00A61D5B">
        <w:rPr>
          <w:rFonts w:ascii="Times New Roman" w:hAnsi="Times New Roman" w:cs="Times New Roman"/>
        </w:rPr>
        <w:t xml:space="preserve"> experimental trials per block.</w:t>
      </w:r>
    </w:p>
    <w:p w14:paraId="107278E8"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Participants completed 4 blocks of these 96 experimental trials (384 trials total) in a single experimental session lasting approximately 20 minutes. Each experimental trial began with a fixation cross displayed for 500 milliseconds, followed immediately by a pair of numbers. The center of the leftmost number was positioned 300 pixels to the left of the center </w:t>
      </w:r>
      <w:r w:rsidRPr="00A61D5B">
        <w:rPr>
          <w:rFonts w:ascii="Times New Roman" w:hAnsi="Times New Roman" w:cs="Times New Roman"/>
        </w:rPr>
        <w:lastRenderedPageBreak/>
        <w:t>of the screen, whereas the center of the rightmost number was positioned 300 pixels to the right of center (resulting in a visual angle between numbers of approximately 25 degrees). For each trial, the number pair remained on the screen until a response was made. If the response was correct, no feedback was given, and the next trial began immediately. If the response was incorrect, a red “X” was presented in the center of the screen for 1 second, after which the next trial began.</w:t>
      </w:r>
    </w:p>
    <w:p w14:paraId="12950CB0" w14:textId="77777777" w:rsidR="00663E15" w:rsidRPr="00A61D5B" w:rsidRDefault="00585E18" w:rsidP="00901619">
      <w:pPr>
        <w:pStyle w:val="Heading11"/>
        <w:spacing w:before="0" w:after="0" w:line="480" w:lineRule="auto"/>
        <w:rPr>
          <w:rFonts w:ascii="Times New Roman" w:hAnsi="Times New Roman" w:cs="Times New Roman"/>
          <w:szCs w:val="24"/>
        </w:rPr>
      </w:pPr>
      <w:bookmarkStart w:id="7" w:name="results"/>
      <w:bookmarkEnd w:id="7"/>
      <w:r w:rsidRPr="00A61D5B">
        <w:rPr>
          <w:rFonts w:ascii="Times New Roman" w:hAnsi="Times New Roman" w:cs="Times New Roman"/>
          <w:szCs w:val="24"/>
        </w:rPr>
        <w:t>Results</w:t>
      </w:r>
    </w:p>
    <w:p w14:paraId="7B147C73"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Participants completed a total of 8832 experimental trials. We discarded 433 trials that contained an incorrect response (error rate = 4.90%). Further, we removed an additional 87 trials for which response time was below three median absolute deviations (MAD) and above six MAD from the overall median RT (median RT = 559 msec, MAD = 142.33 msec) (Leys, Ley, Klein, Bernard, &amp; Licata, 2013). This cleaning procedure resulted in retaining a total of 8312 trials (94.10% of original trials) for further analysis.</w:t>
      </w:r>
    </w:p>
    <w:p w14:paraId="5BF730AD"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The general analysis plan throughout the paper is as follows. First, each hypothesis test was computed as a traditional frequentist test (specifically, a paired-samples </w:t>
      </w:r>
      <m:oMath>
        <m:r>
          <w:rPr>
            <w:rFonts w:ascii="Cambria Math" w:hAnsi="Cambria Math" w:cs="Times New Roman"/>
          </w:rPr>
          <m:t>t</m:t>
        </m:r>
      </m:oMath>
      <w:r w:rsidRPr="00A61D5B">
        <w:rPr>
          <w:rFonts w:ascii="Times New Roman" w:hAnsi="Times New Roman" w:cs="Times New Roman"/>
        </w:rPr>
        <w:t xml:space="preserve">-test). Afterward, we performed a default Bayesian </w:t>
      </w:r>
      <m:oMath>
        <m:r>
          <w:rPr>
            <w:rFonts w:ascii="Cambria Math" w:hAnsi="Cambria Math" w:cs="Times New Roman"/>
          </w:rPr>
          <m:t>t</m:t>
        </m:r>
      </m:oMath>
      <w:r w:rsidRPr="00A61D5B">
        <w:rPr>
          <w:rFonts w:ascii="Times New Roman" w:hAnsi="Times New Roman" w:cs="Times New Roman"/>
        </w:rPr>
        <w:t xml:space="preserve">-test (Rouder, Speckman, Sun, Morey, &amp; Iverson, 2009) to obtain a </w:t>
      </w:r>
      <w:r w:rsidRPr="00A61D5B">
        <w:rPr>
          <w:rFonts w:ascii="Times New Roman" w:hAnsi="Times New Roman" w:cs="Times New Roman"/>
          <w:i/>
        </w:rPr>
        <w:t>Bayes factor</w:t>
      </w:r>
      <w:r w:rsidRPr="00A61D5B">
        <w:rPr>
          <w:rFonts w:ascii="Times New Roman" w:hAnsi="Times New Roman" w:cs="Times New Roman"/>
        </w:rPr>
        <w:t xml:space="preserve">, a likelihood ratio which provides a continuous measure of the extent to which the observed data is more likely to have occurred under one hypothesis than another (Kass &amp; Raftery, 1995). As such, the Bayes factor provides a direct index of our relative belief in one of two competing hypotheses. Notationally,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10</m:t>
            </m:r>
          </m:sub>
        </m:sSub>
      </m:oMath>
      <w:r w:rsidRPr="00A61D5B">
        <w:rPr>
          <w:rFonts w:ascii="Times New Roman" w:hAnsi="Times New Roman" w:cs="Times New Roman"/>
        </w:rPr>
        <w:t xml:space="preserve"> represents a Bayes factor for the alternative over the null, whereas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01</m:t>
            </m:r>
          </m:sub>
        </m:sSub>
      </m:oMath>
      <w:r w:rsidRPr="00A61D5B">
        <w:rPr>
          <w:rFonts w:ascii="Times New Roman" w:hAnsi="Times New Roman" w:cs="Times New Roman"/>
        </w:rPr>
        <w:t xml:space="preserve"> represents a Bayes factor for the null over the alternative. This approach is especially useful in the case of null effects, which cannot be coherently argued for within a frequentist framework (Wagenmakers, 2007). By combining both frequentist and Bayesian procedures, we can combine the familiarity of the frequentist approch with a Bayesian measure of evidential value that is provided by our data.</w:t>
      </w:r>
    </w:p>
    <w:p w14:paraId="68694C71" w14:textId="3AE4FCDC"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lastRenderedPageBreak/>
        <w:t xml:space="preserve">As expected, we found a significant size congruity effect on RTs in the physical comparison task. As can be seen in Figure </w:t>
      </w:r>
      <w:r w:rsidR="004614AA" w:rsidRPr="00A61D5B">
        <w:rPr>
          <w:rFonts w:ascii="Times New Roman" w:hAnsi="Times New Roman" w:cs="Times New Roman"/>
        </w:rPr>
        <w:t>3</w:t>
      </w:r>
      <w:r w:rsidRPr="00A61D5B">
        <w:rPr>
          <w:rFonts w:ascii="Times New Roman" w:hAnsi="Times New Roman" w:cs="Times New Roman"/>
        </w:rPr>
        <w:t xml:space="preserve">, the peak of the RT distribution for incongruent trials was shifted rightward compared to the distribution for congruent trials, indicating that incongruent trials took longer to compare than congruent trials. This was confirmed by a paired samples </w:t>
      </w:r>
      <m:oMath>
        <m:r>
          <w:rPr>
            <w:rFonts w:ascii="Cambria Math" w:hAnsi="Cambria Math" w:cs="Times New Roman"/>
          </w:rPr>
          <m:t>t</m:t>
        </m:r>
      </m:oMath>
      <w:r w:rsidRPr="00A61D5B">
        <w:rPr>
          <w:rFonts w:ascii="Times New Roman" w:hAnsi="Times New Roman" w:cs="Times New Roman"/>
        </w:rPr>
        <w:t xml:space="preserve">-test, from which we found a signficant effect of congruity on median RTs, </w:t>
      </w:r>
      <m:oMath>
        <m:r>
          <w:rPr>
            <w:rFonts w:ascii="Cambria Math" w:hAnsi="Cambria Math" w:cs="Times New Roman"/>
          </w:rPr>
          <m:t>t(22)=6.30</m:t>
        </m:r>
      </m:oMath>
      <w:r w:rsidRPr="00A61D5B">
        <w:rPr>
          <w:rFonts w:ascii="Times New Roman" w:hAnsi="Times New Roman" w:cs="Times New Roman"/>
        </w:rPr>
        <w:t xml:space="preserve">, </w:t>
      </w:r>
      <m:oMath>
        <m:r>
          <w:rPr>
            <w:rFonts w:ascii="Cambria Math" w:hAnsi="Cambria Math" w:cs="Times New Roman"/>
          </w:rPr>
          <m:t>p&lt;.001</m:t>
        </m:r>
      </m:oMath>
      <w:r w:rsidRPr="00A61D5B">
        <w:rPr>
          <w:rFonts w:ascii="Times New Roman" w:hAnsi="Times New Roman" w:cs="Times New Roman"/>
        </w:rPr>
        <w:t xml:space="preserve">. On average, responses for incongruent trials were 63 milliseconds slower than congruent trials. This result was well supported by a Bayesian </w:t>
      </w:r>
      <m:oMath>
        <m:r>
          <w:rPr>
            <w:rFonts w:ascii="Cambria Math" w:hAnsi="Cambria Math" w:cs="Times New Roman"/>
          </w:rPr>
          <m:t>t</m:t>
        </m:r>
      </m:oMath>
      <w:r w:rsidRPr="00A61D5B">
        <w:rPr>
          <w:rFonts w:ascii="Times New Roman" w:hAnsi="Times New Roman" w:cs="Times New Roman"/>
        </w:rPr>
        <w:t xml:space="preserve">-test, which produced a Bayes factor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10</m:t>
            </m:r>
          </m:sub>
        </m:sSub>
        <m:r>
          <w:rPr>
            <w:rFonts w:ascii="Cambria Math" w:hAnsi="Cambria Math" w:cs="Times New Roman"/>
          </w:rPr>
          <m:t>=</m:t>
        </m:r>
      </m:oMath>
      <w:r w:rsidRPr="00A61D5B">
        <w:rPr>
          <w:rFonts w:ascii="Times New Roman" w:hAnsi="Times New Roman" w:cs="Times New Roman"/>
        </w:rPr>
        <w:t xml:space="preserve"> 15,679.05. This indicates that the observed data are approximately 15679 times more likely under the alternative hypothesis than the null hypothesis, which provides substantial evidence in favor of a congruity-related increase in median RT.</w:t>
      </w:r>
    </w:p>
    <w:p w14:paraId="2AA66BDC" w14:textId="7DC55404"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Also apparent from Figure </w:t>
      </w:r>
      <w:r w:rsidR="004614AA" w:rsidRPr="00A61D5B">
        <w:rPr>
          <w:rFonts w:ascii="Times New Roman" w:hAnsi="Times New Roman" w:cs="Times New Roman"/>
        </w:rPr>
        <w:t>3</w:t>
      </w:r>
      <w:r w:rsidRPr="00A61D5B">
        <w:rPr>
          <w:rFonts w:ascii="Times New Roman" w:hAnsi="Times New Roman" w:cs="Times New Roman"/>
        </w:rPr>
        <w:t xml:space="preserve"> is an increase in the spread of the RT distribution for incongruent trials. This was again confirmed by a paired samples </w:t>
      </w:r>
      <m:oMath>
        <m:r>
          <w:rPr>
            <w:rFonts w:ascii="Cambria Math" w:hAnsi="Cambria Math" w:cs="Times New Roman"/>
          </w:rPr>
          <m:t>t</m:t>
        </m:r>
      </m:oMath>
      <w:r w:rsidRPr="00A61D5B">
        <w:rPr>
          <w:rFonts w:ascii="Times New Roman" w:hAnsi="Times New Roman" w:cs="Times New Roman"/>
        </w:rPr>
        <w:t xml:space="preserve">-test: standard deviations were signficantly larger for incongruent trials compared to congruent trials, </w:t>
      </w:r>
      <m:oMath>
        <m:r>
          <w:rPr>
            <w:rFonts w:ascii="Cambria Math" w:hAnsi="Cambria Math" w:cs="Times New Roman"/>
          </w:rPr>
          <m:t>t(22)=5.54</m:t>
        </m:r>
      </m:oMath>
      <w:r w:rsidRPr="00A61D5B">
        <w:rPr>
          <w:rFonts w:ascii="Times New Roman" w:hAnsi="Times New Roman" w:cs="Times New Roman"/>
        </w:rPr>
        <w:t xml:space="preserve">, </w:t>
      </w:r>
      <m:oMath>
        <m:r>
          <w:rPr>
            <w:rFonts w:ascii="Cambria Math" w:hAnsi="Cambria Math" w:cs="Times New Roman"/>
          </w:rPr>
          <m:t>p&lt;.001</m:t>
        </m:r>
      </m:oMath>
      <w:r w:rsidRPr="00A61D5B">
        <w:rPr>
          <w:rFonts w:ascii="Times New Roman" w:hAnsi="Times New Roman" w:cs="Times New Roman"/>
        </w:rPr>
        <w:t xml:space="preserve">. Similar to median RTs, a Bayesian </w:t>
      </w:r>
      <m:oMath>
        <m:r>
          <w:rPr>
            <w:rFonts w:ascii="Cambria Math" w:hAnsi="Cambria Math" w:cs="Times New Roman"/>
          </w:rPr>
          <m:t>t</m:t>
        </m:r>
      </m:oMath>
      <w:r w:rsidRPr="00A61D5B">
        <w:rPr>
          <w:rFonts w:ascii="Times New Roman" w:hAnsi="Times New Roman" w:cs="Times New Roman"/>
        </w:rPr>
        <w:t xml:space="preserve">-test produced a Bayes factor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10</m:t>
            </m:r>
          </m:sub>
        </m:sSub>
        <m:r>
          <w:rPr>
            <w:rFonts w:ascii="Cambria Math" w:hAnsi="Cambria Math" w:cs="Times New Roman"/>
          </w:rPr>
          <m:t>=</m:t>
        </m:r>
      </m:oMath>
      <w:r w:rsidRPr="00A61D5B">
        <w:rPr>
          <w:rFonts w:ascii="Times New Roman" w:hAnsi="Times New Roman" w:cs="Times New Roman"/>
        </w:rPr>
        <w:t xml:space="preserve"> 3,152.15. As with median RTs, this result implies that the observed data are approximately 3152 times more likely under the alternative than the null, giving us much evidence in favor of a congruity-related increase in standard deviations.</w:t>
      </w:r>
    </w:p>
    <w:p w14:paraId="34E476E9"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Next, we attempted to more fully describe the effects of physical-numerical size congruity on the </w:t>
      </w:r>
      <w:r w:rsidRPr="00A61D5B">
        <w:rPr>
          <w:rFonts w:ascii="Times New Roman" w:hAnsi="Times New Roman" w:cs="Times New Roman"/>
          <w:i/>
        </w:rPr>
        <w:t>distributions</w:t>
      </w:r>
      <w:r w:rsidRPr="00A61D5B">
        <w:rPr>
          <w:rFonts w:ascii="Times New Roman" w:hAnsi="Times New Roman" w:cs="Times New Roman"/>
        </w:rPr>
        <w:t xml:space="preserve"> of response times. To this end, we fit the distributions with a shifted Wald model. Specifically, each participant’s distribution of RTs was split into congruent trials and incongruent trials. Then, each of these two distributions was fit with a shifted Wald model using the method of Anders et al. (2016). This resulted in a collection of parameters </w:t>
      </w:r>
      <m:oMath>
        <m:r>
          <w:rPr>
            <w:rFonts w:ascii="Cambria Math" w:hAnsi="Cambria Math" w:cs="Times New Roman"/>
          </w:rPr>
          <m:t>γ</m:t>
        </m:r>
      </m:oMath>
      <w:r w:rsidRPr="00A61D5B">
        <w:rPr>
          <w:rFonts w:ascii="Times New Roman" w:hAnsi="Times New Roman" w:cs="Times New Roman"/>
        </w:rPr>
        <w:t xml:space="preserve"> (drift rate), </w:t>
      </w:r>
      <m:oMath>
        <m:r>
          <w:rPr>
            <w:rFonts w:ascii="Cambria Math" w:hAnsi="Cambria Math" w:cs="Times New Roman"/>
          </w:rPr>
          <m:t>α</m:t>
        </m:r>
      </m:oMath>
      <w:r w:rsidRPr="00A61D5B">
        <w:rPr>
          <w:rFonts w:ascii="Times New Roman" w:hAnsi="Times New Roman" w:cs="Times New Roman"/>
        </w:rPr>
        <w:t xml:space="preserve"> (response threshold), and </w:t>
      </w:r>
      <m:oMath>
        <m:r>
          <w:rPr>
            <w:rFonts w:ascii="Cambria Math" w:hAnsi="Cambria Math" w:cs="Times New Roman"/>
          </w:rPr>
          <m:t>θ</m:t>
        </m:r>
      </m:oMath>
      <w:r w:rsidRPr="00A61D5B">
        <w:rPr>
          <w:rFonts w:ascii="Times New Roman" w:hAnsi="Times New Roman" w:cs="Times New Roman"/>
        </w:rPr>
        <w:t xml:space="preserve"> (nondecision time) for each of the 46 combinations of congruity (congruent, incongruent) and participant (</w:t>
      </w:r>
      <m:oMath>
        <m:r>
          <w:rPr>
            <w:rFonts w:ascii="Cambria Math" w:hAnsi="Cambria Math" w:cs="Times New Roman"/>
          </w:rPr>
          <m:t>N=</m:t>
        </m:r>
      </m:oMath>
      <w:r w:rsidRPr="00A61D5B">
        <w:rPr>
          <w:rFonts w:ascii="Times New Roman" w:hAnsi="Times New Roman" w:cs="Times New Roman"/>
        </w:rPr>
        <w:t xml:space="preserve"> 23). We then tested </w:t>
      </w:r>
      <w:r w:rsidRPr="00A61D5B">
        <w:rPr>
          <w:rFonts w:ascii="Times New Roman" w:hAnsi="Times New Roman" w:cs="Times New Roman"/>
        </w:rPr>
        <w:lastRenderedPageBreak/>
        <w:t xml:space="preserve">the effects of congruity on the shifted Wald parameters by submitting each parameter to a paired samples </w:t>
      </w:r>
      <m:oMath>
        <m:r>
          <w:rPr>
            <w:rFonts w:ascii="Cambria Math" w:hAnsi="Cambria Math" w:cs="Times New Roman"/>
          </w:rPr>
          <m:t>t</m:t>
        </m:r>
      </m:oMath>
      <w:r w:rsidRPr="00A61D5B">
        <w:rPr>
          <w:rFonts w:ascii="Times New Roman" w:hAnsi="Times New Roman" w:cs="Times New Roman"/>
        </w:rPr>
        <w:t xml:space="preserve">-test. As above, we further validated each result by measuring the evidential value of data in each test via a Bayesian </w:t>
      </w:r>
      <m:oMath>
        <m:r>
          <w:rPr>
            <w:rFonts w:ascii="Cambria Math" w:hAnsi="Cambria Math" w:cs="Times New Roman"/>
          </w:rPr>
          <m:t>t</m:t>
        </m:r>
      </m:oMath>
      <w:r w:rsidRPr="00A61D5B">
        <w:rPr>
          <w:rFonts w:ascii="Times New Roman" w:hAnsi="Times New Roman" w:cs="Times New Roman"/>
        </w:rPr>
        <w:t>-test.</w:t>
      </w:r>
    </w:p>
    <w:p w14:paraId="3BB2A63B" w14:textId="3B40AE0D"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The effects of physical-numerical size congruity on each shifted Wald parameter can be seen in Figure </w:t>
      </w:r>
      <w:r w:rsidR="004614AA" w:rsidRPr="00A61D5B">
        <w:rPr>
          <w:rFonts w:ascii="Times New Roman" w:hAnsi="Times New Roman" w:cs="Times New Roman"/>
        </w:rPr>
        <w:t>4</w:t>
      </w:r>
      <w:r w:rsidRPr="00A61D5B">
        <w:rPr>
          <w:rFonts w:ascii="Times New Roman" w:hAnsi="Times New Roman" w:cs="Times New Roman"/>
        </w:rPr>
        <w:t xml:space="preserve">. For drift rate </w:t>
      </w:r>
      <m:oMath>
        <m:r>
          <w:rPr>
            <w:rFonts w:ascii="Cambria Math" w:hAnsi="Cambria Math" w:cs="Times New Roman"/>
          </w:rPr>
          <m:t>γ</m:t>
        </m:r>
      </m:oMath>
      <w:r w:rsidRPr="00A61D5B">
        <w:rPr>
          <w:rFonts w:ascii="Times New Roman" w:hAnsi="Times New Roman" w:cs="Times New Roman"/>
        </w:rPr>
        <w:t xml:space="preserve">, there was a significant effect of congruity, </w:t>
      </w:r>
      <m:oMath>
        <m:r>
          <w:rPr>
            <w:rFonts w:ascii="Cambria Math" w:hAnsi="Cambria Math" w:cs="Times New Roman"/>
          </w:rPr>
          <m:t>t(22)=-5.27</m:t>
        </m:r>
      </m:oMath>
      <w:r w:rsidRPr="00A61D5B">
        <w:rPr>
          <w:rFonts w:ascii="Times New Roman" w:hAnsi="Times New Roman" w:cs="Times New Roman"/>
        </w:rPr>
        <w:t xml:space="preserve">, </w:t>
      </w:r>
      <m:oMath>
        <m:r>
          <w:rPr>
            <w:rFonts w:ascii="Cambria Math" w:hAnsi="Cambria Math" w:cs="Times New Roman"/>
          </w:rPr>
          <m:t>p&lt;.001</m:t>
        </m:r>
      </m:oMath>
      <w:r w:rsidRPr="00A61D5B">
        <w:rPr>
          <w:rFonts w:ascii="Times New Roman" w:hAnsi="Times New Roman" w:cs="Times New Roman"/>
        </w:rPr>
        <w:t xml:space="preserve">. As can be seen in Figure </w:t>
      </w:r>
      <w:r w:rsidR="004614AA" w:rsidRPr="00A61D5B">
        <w:rPr>
          <w:rFonts w:ascii="Times New Roman" w:hAnsi="Times New Roman" w:cs="Times New Roman"/>
        </w:rPr>
        <w:t>4</w:t>
      </w:r>
      <w:r w:rsidRPr="00A61D5B">
        <w:rPr>
          <w:rFonts w:ascii="Times New Roman" w:hAnsi="Times New Roman" w:cs="Times New Roman"/>
        </w:rPr>
        <w:t>A, mean drift rate was smaller for incongruent trials (</w:t>
      </w:r>
      <m:oMath>
        <m:r>
          <w:rPr>
            <w:rFonts w:ascii="Cambria Math" w:hAnsi="Cambria Math" w:cs="Times New Roman"/>
          </w:rPr>
          <m:t>M=</m:t>
        </m:r>
      </m:oMath>
      <w:r w:rsidRPr="00A61D5B">
        <w:rPr>
          <w:rFonts w:ascii="Times New Roman" w:hAnsi="Times New Roman" w:cs="Times New Roman"/>
        </w:rPr>
        <w:t xml:space="preserve"> 3.30) than for congruent trials (</w:t>
      </w:r>
      <m:oMath>
        <m:r>
          <w:rPr>
            <w:rFonts w:ascii="Cambria Math" w:hAnsi="Cambria Math" w:cs="Times New Roman"/>
          </w:rPr>
          <m:t>M=</m:t>
        </m:r>
      </m:oMath>
      <w:r w:rsidRPr="00A61D5B">
        <w:rPr>
          <w:rFonts w:ascii="Times New Roman" w:hAnsi="Times New Roman" w:cs="Times New Roman"/>
        </w:rPr>
        <w:t xml:space="preserve"> 3.91). This indicates that the rate of information accumulation from incongruent trials was reduced compared to trials in which the physical magnitude comparison was congruent with the numerical magnitude comparison. A Bayesian </w:t>
      </w:r>
      <m:oMath>
        <m:r>
          <w:rPr>
            <w:rFonts w:ascii="Cambria Math" w:hAnsi="Cambria Math" w:cs="Times New Roman"/>
          </w:rPr>
          <m:t>t</m:t>
        </m:r>
      </m:oMath>
      <w:r w:rsidRPr="00A61D5B">
        <w:rPr>
          <w:rFonts w:ascii="Times New Roman" w:hAnsi="Times New Roman" w:cs="Times New Roman"/>
        </w:rPr>
        <w:t xml:space="preserve">-test yielded a Bayes factor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10</m:t>
            </m:r>
          </m:sub>
        </m:sSub>
        <m:r>
          <w:rPr>
            <w:rFonts w:ascii="Cambria Math" w:hAnsi="Cambria Math" w:cs="Times New Roman"/>
          </w:rPr>
          <m:t>=</m:t>
        </m:r>
      </m:oMath>
      <w:r w:rsidRPr="00A61D5B">
        <w:rPr>
          <w:rFonts w:ascii="Times New Roman" w:hAnsi="Times New Roman" w:cs="Times New Roman"/>
        </w:rPr>
        <w:t xml:space="preserve"> 1,729.35. This indicates that the observed data are approximately 1729 times more likely under the alternative hypothesis than the null hypothesis, which provides very strong evidence in favor of a congruity-related decrease in drift rate.</w:t>
      </w:r>
    </w:p>
    <w:p w14:paraId="4F9FFA40" w14:textId="3B61F1EE"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Figure </w:t>
      </w:r>
      <w:r w:rsidR="004614AA" w:rsidRPr="00A61D5B">
        <w:rPr>
          <w:rFonts w:ascii="Times New Roman" w:hAnsi="Times New Roman" w:cs="Times New Roman"/>
        </w:rPr>
        <w:t>4</w:t>
      </w:r>
      <w:r w:rsidRPr="00A61D5B">
        <w:rPr>
          <w:rFonts w:ascii="Times New Roman" w:hAnsi="Times New Roman" w:cs="Times New Roman"/>
        </w:rPr>
        <w:t xml:space="preserve">B shows that congruity also had a significant effect on response threshold </w:t>
      </w:r>
      <m:oMath>
        <m:r>
          <w:rPr>
            <w:rFonts w:ascii="Cambria Math" w:hAnsi="Cambria Math" w:cs="Times New Roman"/>
          </w:rPr>
          <m:t>α</m:t>
        </m:r>
      </m:oMath>
      <w:r w:rsidRPr="00A61D5B">
        <w:rPr>
          <w:rFonts w:ascii="Times New Roman" w:hAnsi="Times New Roman" w:cs="Times New Roman"/>
        </w:rPr>
        <w:t xml:space="preserve">, albeit in the opposite direction, </w:t>
      </w:r>
      <m:oMath>
        <m:r>
          <w:rPr>
            <w:rFonts w:ascii="Cambria Math" w:hAnsi="Cambria Math" w:cs="Times New Roman"/>
          </w:rPr>
          <m:t>t(22)=3.15</m:t>
        </m:r>
      </m:oMath>
      <w:r w:rsidRPr="00A61D5B">
        <w:rPr>
          <w:rFonts w:ascii="Times New Roman" w:hAnsi="Times New Roman" w:cs="Times New Roman"/>
        </w:rPr>
        <w:t xml:space="preserve">, </w:t>
      </w:r>
      <m:oMath>
        <m:r>
          <w:rPr>
            <w:rFonts w:ascii="Cambria Math" w:hAnsi="Cambria Math" w:cs="Times New Roman"/>
          </w:rPr>
          <m:t>p=.002</m:t>
        </m:r>
      </m:oMath>
      <w:r w:rsidRPr="00A61D5B">
        <w:rPr>
          <w:rFonts w:ascii="Times New Roman" w:hAnsi="Times New Roman" w:cs="Times New Roman"/>
        </w:rPr>
        <w:t>. The mean response threshold was larger for incongruent trials (</w:t>
      </w:r>
      <m:oMath>
        <m:r>
          <w:rPr>
            <w:rFonts w:ascii="Cambria Math" w:hAnsi="Cambria Math" w:cs="Times New Roman"/>
          </w:rPr>
          <m:t>M=</m:t>
        </m:r>
      </m:oMath>
      <w:r w:rsidRPr="00A61D5B">
        <w:rPr>
          <w:rFonts w:ascii="Times New Roman" w:hAnsi="Times New Roman" w:cs="Times New Roman"/>
        </w:rPr>
        <w:t xml:space="preserve"> 1.04) than for congruent trials (</w:t>
      </w:r>
      <m:oMath>
        <m:r>
          <w:rPr>
            <w:rFonts w:ascii="Cambria Math" w:hAnsi="Cambria Math" w:cs="Times New Roman"/>
          </w:rPr>
          <m:t>M=</m:t>
        </m:r>
      </m:oMath>
      <w:r w:rsidRPr="00A61D5B">
        <w:rPr>
          <w:rFonts w:ascii="Times New Roman" w:hAnsi="Times New Roman" w:cs="Times New Roman"/>
        </w:rPr>
        <w:t xml:space="preserve"> 0.92), which indicates that in addition to a reduction in the </w:t>
      </w:r>
      <w:r w:rsidRPr="00A61D5B">
        <w:rPr>
          <w:rFonts w:ascii="Times New Roman" w:hAnsi="Times New Roman" w:cs="Times New Roman"/>
          <w:i/>
        </w:rPr>
        <w:t>rate</w:t>
      </w:r>
      <w:r w:rsidRPr="00A61D5B">
        <w:rPr>
          <w:rFonts w:ascii="Times New Roman" w:hAnsi="Times New Roman" w:cs="Times New Roman"/>
        </w:rPr>
        <w:t xml:space="preserve"> of information accumulation on incongruent trials compared to congruent trials, participants also required more information before making a decision on such trials. A Bayesian </w:t>
      </w:r>
      <m:oMath>
        <m:r>
          <w:rPr>
            <w:rFonts w:ascii="Cambria Math" w:hAnsi="Cambria Math" w:cs="Times New Roman"/>
          </w:rPr>
          <m:t>t</m:t>
        </m:r>
      </m:oMath>
      <w:r w:rsidRPr="00A61D5B">
        <w:rPr>
          <w:rFonts w:ascii="Times New Roman" w:hAnsi="Times New Roman" w:cs="Times New Roman"/>
        </w:rPr>
        <w:t xml:space="preserve">-test resulted in a Bayes factor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10</m:t>
            </m:r>
          </m:sub>
        </m:sSub>
        <m:r>
          <w:rPr>
            <w:rFonts w:ascii="Cambria Math" w:hAnsi="Cambria Math" w:cs="Times New Roman"/>
          </w:rPr>
          <m:t>=</m:t>
        </m:r>
      </m:oMath>
      <w:r w:rsidRPr="00A61D5B">
        <w:rPr>
          <w:rFonts w:ascii="Times New Roman" w:hAnsi="Times New Roman" w:cs="Times New Roman"/>
        </w:rPr>
        <w:t xml:space="preserve"> 18.60, indicating that the observed data are approximately 19 times more likely under the alternative hypothesis than the null. Such a Bayes factor is generally interpreted as positive evidence in favor of a congruity-related increase in response threshold.</w:t>
      </w:r>
    </w:p>
    <w:p w14:paraId="47505AC4" w14:textId="378AFCB2"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Finally, Figure </w:t>
      </w:r>
      <w:r w:rsidR="004614AA" w:rsidRPr="00A61D5B">
        <w:rPr>
          <w:rFonts w:ascii="Times New Roman" w:hAnsi="Times New Roman" w:cs="Times New Roman"/>
        </w:rPr>
        <w:t>4</w:t>
      </w:r>
      <w:r w:rsidRPr="00A61D5B">
        <w:rPr>
          <w:rFonts w:ascii="Times New Roman" w:hAnsi="Times New Roman" w:cs="Times New Roman"/>
        </w:rPr>
        <w:t xml:space="preserve">C shows that congruity did not have a significant effect on nondecision time </w:t>
      </w:r>
      <m:oMath>
        <m:r>
          <w:rPr>
            <w:rFonts w:ascii="Cambria Math" w:hAnsi="Cambria Math" w:cs="Times New Roman"/>
          </w:rPr>
          <m:t>θ</m:t>
        </m:r>
      </m:oMath>
      <w:r w:rsidRPr="00A61D5B">
        <w:rPr>
          <w:rFonts w:ascii="Times New Roman" w:hAnsi="Times New Roman" w:cs="Times New Roman"/>
        </w:rPr>
        <w:t xml:space="preserve">, </w:t>
      </w:r>
      <m:oMath>
        <m:r>
          <w:rPr>
            <w:rFonts w:ascii="Cambria Math" w:hAnsi="Cambria Math" w:cs="Times New Roman"/>
          </w:rPr>
          <m:t>t(22)=-1.16</m:t>
        </m:r>
      </m:oMath>
      <w:r w:rsidRPr="00A61D5B">
        <w:rPr>
          <w:rFonts w:ascii="Times New Roman" w:hAnsi="Times New Roman" w:cs="Times New Roman"/>
        </w:rPr>
        <w:t xml:space="preserve">, </w:t>
      </w:r>
      <m:oMath>
        <m:r>
          <w:rPr>
            <w:rFonts w:ascii="Cambria Math" w:hAnsi="Cambria Math" w:cs="Times New Roman"/>
          </w:rPr>
          <m:t>p=.870</m:t>
        </m:r>
      </m:oMath>
      <w:r w:rsidRPr="00A61D5B">
        <w:rPr>
          <w:rFonts w:ascii="Times New Roman" w:hAnsi="Times New Roman" w:cs="Times New Roman"/>
        </w:rPr>
        <w:t xml:space="preserve">. Note that in a frequentist framework, the absence of a significant effect does not constitute evidence for a null effect (Wagenmakers, 2007). We </w:t>
      </w:r>
      <w:r w:rsidRPr="00A61D5B">
        <w:rPr>
          <w:rFonts w:ascii="Times New Roman" w:hAnsi="Times New Roman" w:cs="Times New Roman"/>
        </w:rPr>
        <w:lastRenderedPageBreak/>
        <w:t xml:space="preserve">can, however, measure the evidence for a null effect using a Bayes factor. To this end, a Bayesian </w:t>
      </w:r>
      <m:oMath>
        <m:r>
          <w:rPr>
            <w:rFonts w:ascii="Cambria Math" w:hAnsi="Cambria Math" w:cs="Times New Roman"/>
          </w:rPr>
          <m:t>t</m:t>
        </m:r>
      </m:oMath>
      <w:r w:rsidRPr="00A61D5B">
        <w:rPr>
          <w:rFonts w:ascii="Times New Roman" w:hAnsi="Times New Roman" w:cs="Times New Roman"/>
        </w:rPr>
        <w:t xml:space="preserve">-test produced a Bayes factor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01</m:t>
            </m:r>
          </m:sub>
        </m:sSub>
        <m:r>
          <w:rPr>
            <w:rFonts w:ascii="Cambria Math" w:hAnsi="Cambria Math" w:cs="Times New Roman"/>
          </w:rPr>
          <m:t>=</m:t>
        </m:r>
      </m:oMath>
      <w:r w:rsidRPr="00A61D5B">
        <w:rPr>
          <w:rFonts w:ascii="Times New Roman" w:hAnsi="Times New Roman" w:cs="Times New Roman"/>
        </w:rPr>
        <w:t xml:space="preserve"> 8.96, which means that the observed data were approximately 9 times more likely under the null hypothesis than the alternative hypothesis, giving us positive evidence in favor of a null effect of congruity on nondecision time.</w:t>
      </w:r>
    </w:p>
    <w:p w14:paraId="70B6F228" w14:textId="77777777" w:rsidR="00663E15" w:rsidRPr="00A61D5B" w:rsidRDefault="00585E18" w:rsidP="00901619">
      <w:pPr>
        <w:pStyle w:val="Heading11"/>
        <w:spacing w:before="0" w:after="0" w:line="480" w:lineRule="auto"/>
        <w:rPr>
          <w:rFonts w:ascii="Times New Roman" w:hAnsi="Times New Roman" w:cs="Times New Roman"/>
          <w:szCs w:val="24"/>
        </w:rPr>
      </w:pPr>
      <w:bookmarkStart w:id="8" w:name="discussion"/>
      <w:bookmarkEnd w:id="8"/>
      <w:r w:rsidRPr="00A61D5B">
        <w:rPr>
          <w:rFonts w:ascii="Times New Roman" w:hAnsi="Times New Roman" w:cs="Times New Roman"/>
          <w:szCs w:val="24"/>
        </w:rPr>
        <w:t>Discussion</w:t>
      </w:r>
    </w:p>
    <w:p w14:paraId="3574EA62" w14:textId="77777777" w:rsidR="00663E15" w:rsidRPr="00A61D5B" w:rsidRDefault="00585E18" w:rsidP="00901619">
      <w:pPr>
        <w:spacing w:before="0" w:after="0" w:line="480" w:lineRule="auto"/>
        <w:rPr>
          <w:rFonts w:ascii="Times New Roman" w:hAnsi="Times New Roman" w:cs="Times New Roman"/>
        </w:rPr>
      </w:pPr>
      <w:r w:rsidRPr="00A61D5B">
        <w:rPr>
          <w:rFonts w:ascii="Times New Roman" w:hAnsi="Times New Roman" w:cs="Times New Roman"/>
        </w:rPr>
        <w:t xml:space="preserve">The purpose of the present study was to use response time modeling to provide a fine-grained examination of the size congruity effect. Specifically, we aimed to use the results of this modeling to test between two competing models of the size congruity effect: an </w:t>
      </w:r>
      <w:r w:rsidRPr="00A61D5B">
        <w:rPr>
          <w:rFonts w:ascii="Times New Roman" w:hAnsi="Times New Roman" w:cs="Times New Roman"/>
          <w:i/>
        </w:rPr>
        <w:t>early interaction</w:t>
      </w:r>
      <w:r w:rsidRPr="00A61D5B">
        <w:rPr>
          <w:rFonts w:ascii="Times New Roman" w:hAnsi="Times New Roman" w:cs="Times New Roman"/>
        </w:rPr>
        <w:t xml:space="preserve"> model, where the interference between physical and numerical magnitude is purported to be an </w:t>
      </w:r>
      <w:r w:rsidRPr="00A61D5B">
        <w:rPr>
          <w:rFonts w:ascii="Times New Roman" w:hAnsi="Times New Roman" w:cs="Times New Roman"/>
          <w:i/>
        </w:rPr>
        <w:t>encoding</w:t>
      </w:r>
      <w:r w:rsidRPr="00A61D5B">
        <w:rPr>
          <w:rFonts w:ascii="Times New Roman" w:hAnsi="Times New Roman" w:cs="Times New Roman"/>
        </w:rPr>
        <w:t xml:space="preserve"> effect which occurs an at early representational stage, and a </w:t>
      </w:r>
      <w:r w:rsidRPr="00A61D5B">
        <w:rPr>
          <w:rFonts w:ascii="Times New Roman" w:hAnsi="Times New Roman" w:cs="Times New Roman"/>
          <w:i/>
        </w:rPr>
        <w:t>late interaction</w:t>
      </w:r>
      <w:r w:rsidRPr="00A61D5B">
        <w:rPr>
          <w:rFonts w:ascii="Times New Roman" w:hAnsi="Times New Roman" w:cs="Times New Roman"/>
        </w:rPr>
        <w:t xml:space="preserve"> model, where interference occurs at later, </w:t>
      </w:r>
      <w:r w:rsidRPr="00A61D5B">
        <w:rPr>
          <w:rFonts w:ascii="Times New Roman" w:hAnsi="Times New Roman" w:cs="Times New Roman"/>
          <w:i/>
        </w:rPr>
        <w:t>decision</w:t>
      </w:r>
      <w:r w:rsidRPr="00A61D5B">
        <w:rPr>
          <w:rFonts w:ascii="Times New Roman" w:hAnsi="Times New Roman" w:cs="Times New Roman"/>
        </w:rPr>
        <w:t>-related stages.</w:t>
      </w:r>
    </w:p>
    <w:p w14:paraId="61508332"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As was expected, we found a large effect of physical-numerical congruity on median response times, which incongruent trials requiring significantly more time for comparison than congruent trials. Further, we found that the standard deviation of the response time distributions increased for incongruent trials. Such an increase in both the center and spread of the response time distributions indicates a need for more fine-grained analysis of the effects of congruity on the response times distributions. To this end, we used a shifted Wald distribution (Anders et al., 2016), a single-boundary accumulator model, to provide a three-parameter description of the distributions in each congruity condition.</w:t>
      </w:r>
    </w:p>
    <w:p w14:paraId="68C60DF2"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 xml:space="preserve">We found that congruent trials resulted in signficant changes to two of the three shifted Wald parameters. The observed increase in median RT and standard deviation that occured for incongruent trials was due primarily to a decrease in drift rate and an increase in response threshold. The decrease in drift rate means that, for incongruent trials, stimulus information was accumulated more slowly than for congruent trials. Simultaneously, there was an </w:t>
      </w:r>
      <w:r w:rsidRPr="00A61D5B">
        <w:rPr>
          <w:rFonts w:ascii="Times New Roman" w:hAnsi="Times New Roman" w:cs="Times New Roman"/>
        </w:rPr>
        <w:lastRenderedPageBreak/>
        <w:t xml:space="preserve">increase in response threshold, indicating that participants adopted a larger threshold for information that was required to be accumulated before making a decision. Critically, there was no effect of congruity on nondecision time. In all, the present data indicates that the congruity manipulation had effects on decision-related parameters (drift rate and response threshold) and no direct effect on the parameter related to encoding (nondecision time). As such, the pattern of obesrved behavior lends direct support to a </w:t>
      </w:r>
      <w:r w:rsidRPr="00A61D5B">
        <w:rPr>
          <w:rFonts w:ascii="Times New Roman" w:hAnsi="Times New Roman" w:cs="Times New Roman"/>
          <w:i/>
        </w:rPr>
        <w:t>late interaction</w:t>
      </w:r>
      <w:r w:rsidRPr="00A61D5B">
        <w:rPr>
          <w:rFonts w:ascii="Times New Roman" w:hAnsi="Times New Roman" w:cs="Times New Roman"/>
        </w:rPr>
        <w:t xml:space="preserve"> model of the size congruity effect.</w:t>
      </w:r>
    </w:p>
    <w:p w14:paraId="1111F5A0"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Such a conclusion is in general agreement with several other recent studies on the locus of interference in the size congruity effect, which have used a variety techniques ranging from visual search (Sobel et al., 2016, 2017) to computer mousetracking (Faulkenberry et al., 2016). The cumulative data from these studies lend converging evidence on the late-interaction account of the size congruity effect. In turn, these data further support to a response competition model of number comparison put forth by Verguts and colleagues (Gevers, Verguts, Reynvoet, Caessens, &amp; Fias, 2006; Verguts, Fias, &amp; Stevens, 2005).</w:t>
      </w:r>
    </w:p>
    <w:p w14:paraId="7908C680"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The present study is also novel in its use of response time modeling in the context of numerical cognition. Such models have been used successfully in a variety of other domains, and their advantages have been discussed previously.</w:t>
      </w:r>
    </w:p>
    <w:p w14:paraId="60B4125C" w14:textId="77777777" w:rsidR="00663E15" w:rsidRPr="00A61D5B" w:rsidRDefault="00585E18" w:rsidP="00901619">
      <w:pPr>
        <w:pStyle w:val="BodyText"/>
        <w:spacing w:before="0" w:after="0" w:line="480" w:lineRule="auto"/>
        <w:rPr>
          <w:rFonts w:ascii="Times New Roman" w:hAnsi="Times New Roman" w:cs="Times New Roman"/>
        </w:rPr>
      </w:pPr>
      <w:r w:rsidRPr="00A61D5B">
        <w:rPr>
          <w:rFonts w:ascii="Times New Roman" w:hAnsi="Times New Roman" w:cs="Times New Roman"/>
        </w:rPr>
        <w:t>In summary, the present data shows that the size congruity effect in physical number comparison arises due to late, response-related decision processes, and is not localized to an early encoding stage. As such, the data lends support for a late-interaction account of the size congruity effect.</w:t>
      </w:r>
    </w:p>
    <w:p w14:paraId="10FD6559" w14:textId="77777777" w:rsidR="00335DFB" w:rsidRPr="00A61D5B" w:rsidRDefault="00335DFB">
      <w:pPr>
        <w:spacing w:before="0" w:after="200" w:line="240" w:lineRule="auto"/>
        <w:ind w:firstLine="0"/>
        <w:rPr>
          <w:rFonts w:ascii="Times New Roman" w:eastAsiaTheme="majorEastAsia" w:hAnsi="Times New Roman" w:cs="Times New Roman"/>
          <w:b/>
          <w:bCs/>
        </w:rPr>
      </w:pPr>
      <w:bookmarkStart w:id="9" w:name="conflict-of-interest"/>
      <w:bookmarkStart w:id="10" w:name="references"/>
      <w:bookmarkEnd w:id="9"/>
      <w:bookmarkEnd w:id="10"/>
      <w:r w:rsidRPr="00A61D5B">
        <w:rPr>
          <w:rFonts w:ascii="Times New Roman" w:hAnsi="Times New Roman" w:cs="Times New Roman"/>
        </w:rPr>
        <w:br w:type="page"/>
      </w:r>
    </w:p>
    <w:p w14:paraId="27187E74" w14:textId="4A919218" w:rsidR="00663E15" w:rsidRPr="00A61D5B" w:rsidRDefault="00585E18" w:rsidP="00335DFB">
      <w:pPr>
        <w:pStyle w:val="Heading11"/>
        <w:spacing w:before="0" w:after="0" w:line="480" w:lineRule="auto"/>
        <w:rPr>
          <w:rFonts w:ascii="Times New Roman" w:hAnsi="Times New Roman" w:cs="Times New Roman"/>
          <w:szCs w:val="24"/>
        </w:rPr>
      </w:pPr>
      <w:r w:rsidRPr="00A61D5B">
        <w:rPr>
          <w:rFonts w:ascii="Times New Roman" w:hAnsi="Times New Roman" w:cs="Times New Roman"/>
          <w:b w:val="0"/>
          <w:szCs w:val="24"/>
        </w:rPr>
        <w:lastRenderedPageBreak/>
        <w:t>References</w:t>
      </w:r>
      <w:r w:rsidRPr="00A61D5B">
        <w:rPr>
          <w:rFonts w:ascii="Times New Roman" w:hAnsi="Times New Roman" w:cs="Times New Roman"/>
          <w:szCs w:val="24"/>
        </w:rPr>
        <w:t xml:space="preserve"> </w:t>
      </w:r>
    </w:p>
    <w:p w14:paraId="71B7E4C1"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Anders, R., Alario, F.-X., &amp; Maanen, L. V. (2016). The shifted Wald distribution for response time data analysis. </w:t>
      </w:r>
      <w:r w:rsidRPr="00A61D5B">
        <w:rPr>
          <w:rFonts w:ascii="Times New Roman" w:hAnsi="Times New Roman" w:cs="Times New Roman"/>
          <w:i/>
        </w:rPr>
        <w:t>Psychological Methods</w:t>
      </w:r>
      <w:r w:rsidRPr="00A61D5B">
        <w:rPr>
          <w:rFonts w:ascii="Times New Roman" w:hAnsi="Times New Roman" w:cs="Times New Roman"/>
        </w:rPr>
        <w:t xml:space="preserve">, </w:t>
      </w:r>
      <w:r w:rsidRPr="00A61D5B">
        <w:rPr>
          <w:rFonts w:ascii="Times New Roman" w:hAnsi="Times New Roman" w:cs="Times New Roman"/>
          <w:i/>
        </w:rPr>
        <w:t>21</w:t>
      </w:r>
      <w:r w:rsidRPr="00A61D5B">
        <w:rPr>
          <w:rFonts w:ascii="Times New Roman" w:hAnsi="Times New Roman" w:cs="Times New Roman"/>
        </w:rPr>
        <w:t>(3), 309–327. doi:</w:t>
      </w:r>
      <w:hyperlink r:id="rId9">
        <w:r w:rsidRPr="00A61D5B">
          <w:rPr>
            <w:rFonts w:ascii="Times New Roman" w:hAnsi="Times New Roman" w:cs="Times New Roman"/>
          </w:rPr>
          <w:t>10.1037/met0000066</w:t>
        </w:r>
      </w:hyperlink>
    </w:p>
    <w:p w14:paraId="36CFBE4B"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Anders, R., Riès, S., Maanen, L. van, &amp; Alario, F.-X. (2015). Evidence accumulation as a model for lexical selection. </w:t>
      </w:r>
      <w:r w:rsidRPr="00A61D5B">
        <w:rPr>
          <w:rFonts w:ascii="Times New Roman" w:hAnsi="Times New Roman" w:cs="Times New Roman"/>
          <w:i/>
        </w:rPr>
        <w:t>Cognitive Psychology</w:t>
      </w:r>
      <w:r w:rsidRPr="00A61D5B">
        <w:rPr>
          <w:rFonts w:ascii="Times New Roman" w:hAnsi="Times New Roman" w:cs="Times New Roman"/>
        </w:rPr>
        <w:t xml:space="preserve">, </w:t>
      </w:r>
      <w:r w:rsidRPr="00A61D5B">
        <w:rPr>
          <w:rFonts w:ascii="Times New Roman" w:hAnsi="Times New Roman" w:cs="Times New Roman"/>
          <w:i/>
        </w:rPr>
        <w:t>82</w:t>
      </w:r>
      <w:r w:rsidRPr="00A61D5B">
        <w:rPr>
          <w:rFonts w:ascii="Times New Roman" w:hAnsi="Times New Roman" w:cs="Times New Roman"/>
        </w:rPr>
        <w:t>, 57–73. doi:</w:t>
      </w:r>
      <w:hyperlink r:id="rId10">
        <w:r w:rsidRPr="00A61D5B">
          <w:rPr>
            <w:rFonts w:ascii="Times New Roman" w:hAnsi="Times New Roman" w:cs="Times New Roman"/>
          </w:rPr>
          <w:t>10.1016/j.cogpsych.2015.07.002</w:t>
        </w:r>
      </w:hyperlink>
    </w:p>
    <w:p w14:paraId="5AC41897"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Brown, S. D., &amp; Heathcote, A. (2008). The simplest complete model of choice response time: Linear ballistic accumulation. </w:t>
      </w:r>
      <w:r w:rsidRPr="00A61D5B">
        <w:rPr>
          <w:rFonts w:ascii="Times New Roman" w:hAnsi="Times New Roman" w:cs="Times New Roman"/>
          <w:i/>
        </w:rPr>
        <w:t>Cognitive Psychology</w:t>
      </w:r>
      <w:r w:rsidRPr="00A61D5B">
        <w:rPr>
          <w:rFonts w:ascii="Times New Roman" w:hAnsi="Times New Roman" w:cs="Times New Roman"/>
        </w:rPr>
        <w:t xml:space="preserve">, </w:t>
      </w:r>
      <w:r w:rsidRPr="00A61D5B">
        <w:rPr>
          <w:rFonts w:ascii="Times New Roman" w:hAnsi="Times New Roman" w:cs="Times New Roman"/>
          <w:i/>
        </w:rPr>
        <w:t>57</w:t>
      </w:r>
      <w:r w:rsidRPr="00A61D5B">
        <w:rPr>
          <w:rFonts w:ascii="Times New Roman" w:hAnsi="Times New Roman" w:cs="Times New Roman"/>
        </w:rPr>
        <w:t>(3), 153–178. doi:</w:t>
      </w:r>
      <w:hyperlink r:id="rId11">
        <w:r w:rsidRPr="00A61D5B">
          <w:rPr>
            <w:rFonts w:ascii="Times New Roman" w:hAnsi="Times New Roman" w:cs="Times New Roman"/>
          </w:rPr>
          <w:t>10.1016/j.cogpsych.2007.12.002</w:t>
        </w:r>
      </w:hyperlink>
    </w:p>
    <w:p w14:paraId="2FF02E6D"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Campbell, J. I. D., &amp; Clark, J. M. (1988). An encoding-complex view of cognitive number processing: Comment on McCloskey, Sokol, and Goodman (1986). </w:t>
      </w:r>
      <w:r w:rsidRPr="00A61D5B">
        <w:rPr>
          <w:rFonts w:ascii="Times New Roman" w:hAnsi="Times New Roman" w:cs="Times New Roman"/>
          <w:i/>
        </w:rPr>
        <w:t>Journal of Experimental Psychology: General</w:t>
      </w:r>
      <w:r w:rsidRPr="00A61D5B">
        <w:rPr>
          <w:rFonts w:ascii="Times New Roman" w:hAnsi="Times New Roman" w:cs="Times New Roman"/>
        </w:rPr>
        <w:t xml:space="preserve">, </w:t>
      </w:r>
      <w:r w:rsidRPr="00A61D5B">
        <w:rPr>
          <w:rFonts w:ascii="Times New Roman" w:hAnsi="Times New Roman" w:cs="Times New Roman"/>
          <w:i/>
        </w:rPr>
        <w:t>117</w:t>
      </w:r>
      <w:r w:rsidRPr="00A61D5B">
        <w:rPr>
          <w:rFonts w:ascii="Times New Roman" w:hAnsi="Times New Roman" w:cs="Times New Roman"/>
        </w:rPr>
        <w:t>(2), 204–214. doi:</w:t>
      </w:r>
      <w:hyperlink r:id="rId12">
        <w:r w:rsidRPr="00A61D5B">
          <w:rPr>
            <w:rFonts w:ascii="Times New Roman" w:hAnsi="Times New Roman" w:cs="Times New Roman"/>
          </w:rPr>
          <w:t>10.1037/0096-3445.117.2.204</w:t>
        </w:r>
      </w:hyperlink>
    </w:p>
    <w:p w14:paraId="2C31CFB6"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Campbell, J. I. D., &amp; Epp, L. J. (2004). An encoding-complex approach to numerical cognition in Chinese-English bilinguals. </w:t>
      </w:r>
      <w:r w:rsidRPr="00A61D5B">
        <w:rPr>
          <w:rFonts w:ascii="Times New Roman" w:hAnsi="Times New Roman" w:cs="Times New Roman"/>
          <w:i/>
        </w:rPr>
        <w:t>Canadian Journal of Experimental Psychology</w:t>
      </w:r>
      <w:r w:rsidRPr="00A61D5B">
        <w:rPr>
          <w:rFonts w:ascii="Times New Roman" w:hAnsi="Times New Roman" w:cs="Times New Roman"/>
        </w:rPr>
        <w:t xml:space="preserve">, </w:t>
      </w:r>
      <w:r w:rsidRPr="00A61D5B">
        <w:rPr>
          <w:rFonts w:ascii="Times New Roman" w:hAnsi="Times New Roman" w:cs="Times New Roman"/>
          <w:i/>
        </w:rPr>
        <w:t>58</w:t>
      </w:r>
      <w:r w:rsidRPr="00A61D5B">
        <w:rPr>
          <w:rFonts w:ascii="Times New Roman" w:hAnsi="Times New Roman" w:cs="Times New Roman"/>
        </w:rPr>
        <w:t>(4), 229–244. doi:</w:t>
      </w:r>
      <w:hyperlink r:id="rId13">
        <w:r w:rsidRPr="00A61D5B">
          <w:rPr>
            <w:rFonts w:ascii="Times New Roman" w:hAnsi="Times New Roman" w:cs="Times New Roman"/>
          </w:rPr>
          <w:t>10.1037/h0087447</w:t>
        </w:r>
      </w:hyperlink>
    </w:p>
    <w:p w14:paraId="0DFA30DE"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Cantlon, J. F., &amp; Brannon, E. M. (2006). Shared system for ordering small and large numbers in monkeys and humans. </w:t>
      </w:r>
      <w:r w:rsidRPr="00A61D5B">
        <w:rPr>
          <w:rFonts w:ascii="Times New Roman" w:hAnsi="Times New Roman" w:cs="Times New Roman"/>
          <w:i/>
        </w:rPr>
        <w:t>Psychological Science</w:t>
      </w:r>
      <w:r w:rsidRPr="00A61D5B">
        <w:rPr>
          <w:rFonts w:ascii="Times New Roman" w:hAnsi="Times New Roman" w:cs="Times New Roman"/>
        </w:rPr>
        <w:t xml:space="preserve">, </w:t>
      </w:r>
      <w:r w:rsidRPr="00A61D5B">
        <w:rPr>
          <w:rFonts w:ascii="Times New Roman" w:hAnsi="Times New Roman" w:cs="Times New Roman"/>
          <w:i/>
        </w:rPr>
        <w:t>17</w:t>
      </w:r>
      <w:r w:rsidRPr="00A61D5B">
        <w:rPr>
          <w:rFonts w:ascii="Times New Roman" w:hAnsi="Times New Roman" w:cs="Times New Roman"/>
        </w:rPr>
        <w:t>(5), 401–406. doi:</w:t>
      </w:r>
      <w:hyperlink r:id="rId14">
        <w:r w:rsidRPr="00A61D5B">
          <w:rPr>
            <w:rFonts w:ascii="Times New Roman" w:hAnsi="Times New Roman" w:cs="Times New Roman"/>
          </w:rPr>
          <w:t>10.1111/j.1467-9280.2006.01719.x</w:t>
        </w:r>
      </w:hyperlink>
    </w:p>
    <w:p w14:paraId="52316D85"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Cohen Kadosh, R., Cohen Kadosh, K., Linden, D. E. J., Gevers, W., Berger, A., &amp; Henik, A. (2007). The brain locus of interaction between number and size: A combined functional magnetic resonance imaging and event-related potential study. </w:t>
      </w:r>
      <w:r w:rsidRPr="00A61D5B">
        <w:rPr>
          <w:rFonts w:ascii="Times New Roman" w:hAnsi="Times New Roman" w:cs="Times New Roman"/>
          <w:i/>
        </w:rPr>
        <w:t>Journal of Cognitive Neuroscience</w:t>
      </w:r>
      <w:r w:rsidRPr="00A61D5B">
        <w:rPr>
          <w:rFonts w:ascii="Times New Roman" w:hAnsi="Times New Roman" w:cs="Times New Roman"/>
        </w:rPr>
        <w:t xml:space="preserve">, </w:t>
      </w:r>
      <w:r w:rsidRPr="00A61D5B">
        <w:rPr>
          <w:rFonts w:ascii="Times New Roman" w:hAnsi="Times New Roman" w:cs="Times New Roman"/>
          <w:i/>
        </w:rPr>
        <w:t>19</w:t>
      </w:r>
      <w:r w:rsidRPr="00A61D5B">
        <w:rPr>
          <w:rFonts w:ascii="Times New Roman" w:hAnsi="Times New Roman" w:cs="Times New Roman"/>
        </w:rPr>
        <w:t>(6), 957–970. doi:</w:t>
      </w:r>
      <w:hyperlink r:id="rId15">
        <w:r w:rsidRPr="00A61D5B">
          <w:rPr>
            <w:rFonts w:ascii="Times New Roman" w:hAnsi="Times New Roman" w:cs="Times New Roman"/>
          </w:rPr>
          <w:t>10.1162/jocn.2007.19.6.957</w:t>
        </w:r>
      </w:hyperlink>
    </w:p>
    <w:p w14:paraId="4D435BFC"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lastRenderedPageBreak/>
        <w:t xml:space="preserve">Faulkenberry, T. J. (2017). A single-boundary accumulator model of response times in an addition verification task. </w:t>
      </w:r>
      <w:r w:rsidRPr="00A61D5B">
        <w:rPr>
          <w:rFonts w:ascii="Times New Roman" w:hAnsi="Times New Roman" w:cs="Times New Roman"/>
          <w:i/>
        </w:rPr>
        <w:t>Frontiers in Psychology</w:t>
      </w:r>
      <w:r w:rsidRPr="00A61D5B">
        <w:rPr>
          <w:rFonts w:ascii="Times New Roman" w:hAnsi="Times New Roman" w:cs="Times New Roman"/>
        </w:rPr>
        <w:t xml:space="preserve">, </w:t>
      </w:r>
      <w:r w:rsidRPr="00A61D5B">
        <w:rPr>
          <w:rFonts w:ascii="Times New Roman" w:hAnsi="Times New Roman" w:cs="Times New Roman"/>
          <w:i/>
        </w:rPr>
        <w:t>8</w:t>
      </w:r>
      <w:r w:rsidRPr="00A61D5B">
        <w:rPr>
          <w:rFonts w:ascii="Times New Roman" w:hAnsi="Times New Roman" w:cs="Times New Roman"/>
        </w:rPr>
        <w:t>. doi:</w:t>
      </w:r>
      <w:hyperlink r:id="rId16">
        <w:r w:rsidRPr="00A61D5B">
          <w:rPr>
            <w:rFonts w:ascii="Times New Roman" w:hAnsi="Times New Roman" w:cs="Times New Roman"/>
          </w:rPr>
          <w:t>10.3389/fpsyg.2017.01225</w:t>
        </w:r>
      </w:hyperlink>
    </w:p>
    <w:p w14:paraId="2C2CB621"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Faulkenberry, T. J., Cruise, A., Lavro, D., &amp; Shaki, S. (2016). Response trajectories capture the continuous dynamics of the size congruity effect. </w:t>
      </w:r>
      <w:r w:rsidRPr="00A61D5B">
        <w:rPr>
          <w:rFonts w:ascii="Times New Roman" w:hAnsi="Times New Roman" w:cs="Times New Roman"/>
          <w:i/>
        </w:rPr>
        <w:t>Acta Psychologica</w:t>
      </w:r>
      <w:r w:rsidRPr="00A61D5B">
        <w:rPr>
          <w:rFonts w:ascii="Times New Roman" w:hAnsi="Times New Roman" w:cs="Times New Roman"/>
        </w:rPr>
        <w:t xml:space="preserve">, </w:t>
      </w:r>
      <w:r w:rsidRPr="00A61D5B">
        <w:rPr>
          <w:rFonts w:ascii="Times New Roman" w:hAnsi="Times New Roman" w:cs="Times New Roman"/>
          <w:i/>
        </w:rPr>
        <w:t>163</w:t>
      </w:r>
      <w:r w:rsidRPr="00A61D5B">
        <w:rPr>
          <w:rFonts w:ascii="Times New Roman" w:hAnsi="Times New Roman" w:cs="Times New Roman"/>
        </w:rPr>
        <w:t>, 114–123. doi:</w:t>
      </w:r>
      <w:hyperlink r:id="rId17">
        <w:r w:rsidRPr="00A61D5B">
          <w:rPr>
            <w:rFonts w:ascii="Times New Roman" w:hAnsi="Times New Roman" w:cs="Times New Roman"/>
          </w:rPr>
          <w:t>10.1016/j.actpsy.2015.11.010</w:t>
        </w:r>
      </w:hyperlink>
    </w:p>
    <w:p w14:paraId="4A53D2D3"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Gevers, W., Verguts, T., Reynvoet, B., Caessens, B., &amp; Fias, W. (2006). Numbers and space: A computational model of the SNARC effect. </w:t>
      </w:r>
      <w:r w:rsidRPr="00A61D5B">
        <w:rPr>
          <w:rFonts w:ascii="Times New Roman" w:hAnsi="Times New Roman" w:cs="Times New Roman"/>
          <w:i/>
        </w:rPr>
        <w:t>Journal of Experimental Psychology: Human Perception and Performance</w:t>
      </w:r>
      <w:r w:rsidRPr="00A61D5B">
        <w:rPr>
          <w:rFonts w:ascii="Times New Roman" w:hAnsi="Times New Roman" w:cs="Times New Roman"/>
        </w:rPr>
        <w:t xml:space="preserve">, </w:t>
      </w:r>
      <w:r w:rsidRPr="00A61D5B">
        <w:rPr>
          <w:rFonts w:ascii="Times New Roman" w:hAnsi="Times New Roman" w:cs="Times New Roman"/>
          <w:i/>
        </w:rPr>
        <w:t>32</w:t>
      </w:r>
      <w:r w:rsidRPr="00A61D5B">
        <w:rPr>
          <w:rFonts w:ascii="Times New Roman" w:hAnsi="Times New Roman" w:cs="Times New Roman"/>
        </w:rPr>
        <w:t>(1), 32–44. doi:</w:t>
      </w:r>
      <w:hyperlink r:id="rId18">
        <w:r w:rsidRPr="00A61D5B">
          <w:rPr>
            <w:rFonts w:ascii="Times New Roman" w:hAnsi="Times New Roman" w:cs="Times New Roman"/>
          </w:rPr>
          <w:t>10.1037/0096-1523.32.1.32</w:t>
        </w:r>
      </w:hyperlink>
    </w:p>
    <w:p w14:paraId="0CCBC365"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Heathcote, A. (2004). Fitting Wald and ex-Wald distributions to response time data: An example using functions for the S-PLUS package. </w:t>
      </w:r>
      <w:r w:rsidRPr="00A61D5B">
        <w:rPr>
          <w:rFonts w:ascii="Times New Roman" w:hAnsi="Times New Roman" w:cs="Times New Roman"/>
          <w:i/>
        </w:rPr>
        <w:t>Behavior Research Methods, Instruments, &amp; Computers</w:t>
      </w:r>
      <w:r w:rsidRPr="00A61D5B">
        <w:rPr>
          <w:rFonts w:ascii="Times New Roman" w:hAnsi="Times New Roman" w:cs="Times New Roman"/>
        </w:rPr>
        <w:t xml:space="preserve">, </w:t>
      </w:r>
      <w:r w:rsidRPr="00A61D5B">
        <w:rPr>
          <w:rFonts w:ascii="Times New Roman" w:hAnsi="Times New Roman" w:cs="Times New Roman"/>
          <w:i/>
        </w:rPr>
        <w:t>36</w:t>
      </w:r>
      <w:r w:rsidRPr="00A61D5B">
        <w:rPr>
          <w:rFonts w:ascii="Times New Roman" w:hAnsi="Times New Roman" w:cs="Times New Roman"/>
        </w:rPr>
        <w:t>(4), 678–694. doi:</w:t>
      </w:r>
      <w:hyperlink r:id="rId19">
        <w:r w:rsidRPr="00A61D5B">
          <w:rPr>
            <w:rFonts w:ascii="Times New Roman" w:hAnsi="Times New Roman" w:cs="Times New Roman"/>
          </w:rPr>
          <w:t>10.3758/bf03206550</w:t>
        </w:r>
      </w:hyperlink>
    </w:p>
    <w:p w14:paraId="0013ABE6"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Heathcote, A., &amp; Hayes, B. (2012). Diffusion versus linear ballistic accumulation: Different models for response time with different conclusions about psychological mechanisms? </w:t>
      </w:r>
      <w:r w:rsidRPr="00A61D5B">
        <w:rPr>
          <w:rFonts w:ascii="Times New Roman" w:hAnsi="Times New Roman" w:cs="Times New Roman"/>
          <w:i/>
        </w:rPr>
        <w:t>Canadian Journal of Experimental Psychology</w:t>
      </w:r>
      <w:r w:rsidRPr="00A61D5B">
        <w:rPr>
          <w:rFonts w:ascii="Times New Roman" w:hAnsi="Times New Roman" w:cs="Times New Roman"/>
        </w:rPr>
        <w:t xml:space="preserve">, </w:t>
      </w:r>
      <w:r w:rsidRPr="00A61D5B">
        <w:rPr>
          <w:rFonts w:ascii="Times New Roman" w:hAnsi="Times New Roman" w:cs="Times New Roman"/>
          <w:i/>
        </w:rPr>
        <w:t>66</w:t>
      </w:r>
      <w:r w:rsidRPr="00A61D5B">
        <w:rPr>
          <w:rFonts w:ascii="Times New Roman" w:hAnsi="Times New Roman" w:cs="Times New Roman"/>
        </w:rPr>
        <w:t>(2), 125–136. doi:</w:t>
      </w:r>
      <w:hyperlink r:id="rId20">
        <w:r w:rsidRPr="00A61D5B">
          <w:rPr>
            <w:rFonts w:ascii="Times New Roman" w:hAnsi="Times New Roman" w:cs="Times New Roman"/>
          </w:rPr>
          <w:t>10.1037/a0028189</w:t>
        </w:r>
      </w:hyperlink>
    </w:p>
    <w:p w14:paraId="0DB63E7F"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Henik, A., &amp; Tzelgov, J. (1982). Is three greater than five: The relation between physical and semantic size in comparison tasks. </w:t>
      </w:r>
      <w:r w:rsidRPr="00A61D5B">
        <w:rPr>
          <w:rFonts w:ascii="Times New Roman" w:hAnsi="Times New Roman" w:cs="Times New Roman"/>
          <w:i/>
        </w:rPr>
        <w:t>Memory &amp; Cognition</w:t>
      </w:r>
      <w:r w:rsidRPr="00A61D5B">
        <w:rPr>
          <w:rFonts w:ascii="Times New Roman" w:hAnsi="Times New Roman" w:cs="Times New Roman"/>
        </w:rPr>
        <w:t xml:space="preserve">, </w:t>
      </w:r>
      <w:r w:rsidRPr="00A61D5B">
        <w:rPr>
          <w:rFonts w:ascii="Times New Roman" w:hAnsi="Times New Roman" w:cs="Times New Roman"/>
          <w:i/>
        </w:rPr>
        <w:t>10</w:t>
      </w:r>
      <w:r w:rsidRPr="00A61D5B">
        <w:rPr>
          <w:rFonts w:ascii="Times New Roman" w:hAnsi="Times New Roman" w:cs="Times New Roman"/>
        </w:rPr>
        <w:t>(4), 389–395. doi:</w:t>
      </w:r>
      <w:hyperlink r:id="rId21">
        <w:r w:rsidRPr="00A61D5B">
          <w:rPr>
            <w:rFonts w:ascii="Times New Roman" w:hAnsi="Times New Roman" w:cs="Times New Roman"/>
          </w:rPr>
          <w:t>10.3758/bf03202431</w:t>
        </w:r>
      </w:hyperlink>
    </w:p>
    <w:p w14:paraId="23883A7F"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Kass, R. E., &amp; Raftery, A. E. (1995). Bayes factors. </w:t>
      </w:r>
      <w:r w:rsidRPr="00A61D5B">
        <w:rPr>
          <w:rFonts w:ascii="Times New Roman" w:hAnsi="Times New Roman" w:cs="Times New Roman"/>
          <w:i/>
        </w:rPr>
        <w:t>Journal of the American Statistical Association</w:t>
      </w:r>
      <w:r w:rsidRPr="00A61D5B">
        <w:rPr>
          <w:rFonts w:ascii="Times New Roman" w:hAnsi="Times New Roman" w:cs="Times New Roman"/>
        </w:rPr>
        <w:t xml:space="preserve">, </w:t>
      </w:r>
      <w:r w:rsidRPr="00A61D5B">
        <w:rPr>
          <w:rFonts w:ascii="Times New Roman" w:hAnsi="Times New Roman" w:cs="Times New Roman"/>
          <w:i/>
        </w:rPr>
        <w:t>90</w:t>
      </w:r>
      <w:r w:rsidRPr="00A61D5B">
        <w:rPr>
          <w:rFonts w:ascii="Times New Roman" w:hAnsi="Times New Roman" w:cs="Times New Roman"/>
        </w:rPr>
        <w:t>(430), 773. doi:</w:t>
      </w:r>
      <w:hyperlink r:id="rId22">
        <w:r w:rsidRPr="00A61D5B">
          <w:rPr>
            <w:rFonts w:ascii="Times New Roman" w:hAnsi="Times New Roman" w:cs="Times New Roman"/>
          </w:rPr>
          <w:t>10.2307/2291091</w:t>
        </w:r>
      </w:hyperlink>
    </w:p>
    <w:p w14:paraId="3C38EFA6"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Krause, F., Bekkering, H., Pratt, J., &amp; Lindemann, O. (2016). Interaction between numbers and size during visual search. </w:t>
      </w:r>
      <w:r w:rsidRPr="00A61D5B">
        <w:rPr>
          <w:rFonts w:ascii="Times New Roman" w:hAnsi="Times New Roman" w:cs="Times New Roman"/>
          <w:i/>
        </w:rPr>
        <w:t>Psychological Research</w:t>
      </w:r>
      <w:r w:rsidRPr="00A61D5B">
        <w:rPr>
          <w:rFonts w:ascii="Times New Roman" w:hAnsi="Times New Roman" w:cs="Times New Roman"/>
        </w:rPr>
        <w:t xml:space="preserve">, </w:t>
      </w:r>
      <w:r w:rsidRPr="00A61D5B">
        <w:rPr>
          <w:rFonts w:ascii="Times New Roman" w:hAnsi="Times New Roman" w:cs="Times New Roman"/>
          <w:i/>
        </w:rPr>
        <w:t>81</w:t>
      </w:r>
      <w:r w:rsidRPr="00A61D5B">
        <w:rPr>
          <w:rFonts w:ascii="Times New Roman" w:hAnsi="Times New Roman" w:cs="Times New Roman"/>
        </w:rPr>
        <w:t>(3), 664–677. doi:</w:t>
      </w:r>
      <w:hyperlink r:id="rId23">
        <w:r w:rsidRPr="00A61D5B">
          <w:rPr>
            <w:rFonts w:ascii="Times New Roman" w:hAnsi="Times New Roman" w:cs="Times New Roman"/>
          </w:rPr>
          <w:t>10.1007/s00426-016-0771-4</w:t>
        </w:r>
      </w:hyperlink>
    </w:p>
    <w:p w14:paraId="6F4E8EF0"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Leys, C., Ley, C., Klein, O., Bernard, P., &amp; Licata, L. (2013). Detecting outliers: Do not use standard deviation around the mean, use absolute deviation around the median. </w:t>
      </w:r>
      <w:r w:rsidRPr="00A61D5B">
        <w:rPr>
          <w:rFonts w:ascii="Times New Roman" w:hAnsi="Times New Roman" w:cs="Times New Roman"/>
          <w:i/>
        </w:rPr>
        <w:lastRenderedPageBreak/>
        <w:t>Journal of Experimental Social Psychology</w:t>
      </w:r>
      <w:r w:rsidRPr="00A61D5B">
        <w:rPr>
          <w:rFonts w:ascii="Times New Roman" w:hAnsi="Times New Roman" w:cs="Times New Roman"/>
        </w:rPr>
        <w:t xml:space="preserve">, </w:t>
      </w:r>
      <w:r w:rsidRPr="00A61D5B">
        <w:rPr>
          <w:rFonts w:ascii="Times New Roman" w:hAnsi="Times New Roman" w:cs="Times New Roman"/>
          <w:i/>
        </w:rPr>
        <w:t>49</w:t>
      </w:r>
      <w:r w:rsidRPr="00A61D5B">
        <w:rPr>
          <w:rFonts w:ascii="Times New Roman" w:hAnsi="Times New Roman" w:cs="Times New Roman"/>
        </w:rPr>
        <w:t>(4), 764–766. doi:</w:t>
      </w:r>
      <w:hyperlink r:id="rId24">
        <w:r w:rsidRPr="00A61D5B">
          <w:rPr>
            <w:rFonts w:ascii="Times New Roman" w:hAnsi="Times New Roman" w:cs="Times New Roman"/>
          </w:rPr>
          <w:t>10.1016/j.jesp.2013.03.013</w:t>
        </w:r>
      </w:hyperlink>
    </w:p>
    <w:p w14:paraId="33CE9303"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Link, S. W., &amp; Heath, R. A. (1975). A sequential theory of psychological discrimination. </w:t>
      </w:r>
      <w:r w:rsidRPr="00A61D5B">
        <w:rPr>
          <w:rFonts w:ascii="Times New Roman" w:hAnsi="Times New Roman" w:cs="Times New Roman"/>
          <w:i/>
        </w:rPr>
        <w:t>Psychometrika</w:t>
      </w:r>
      <w:r w:rsidRPr="00A61D5B">
        <w:rPr>
          <w:rFonts w:ascii="Times New Roman" w:hAnsi="Times New Roman" w:cs="Times New Roman"/>
        </w:rPr>
        <w:t xml:space="preserve">, </w:t>
      </w:r>
      <w:r w:rsidRPr="00A61D5B">
        <w:rPr>
          <w:rFonts w:ascii="Times New Roman" w:hAnsi="Times New Roman" w:cs="Times New Roman"/>
          <w:i/>
        </w:rPr>
        <w:t>40</w:t>
      </w:r>
      <w:r w:rsidRPr="00A61D5B">
        <w:rPr>
          <w:rFonts w:ascii="Times New Roman" w:hAnsi="Times New Roman" w:cs="Times New Roman"/>
        </w:rPr>
        <w:t>(1), 77–105. doi:</w:t>
      </w:r>
      <w:hyperlink r:id="rId25">
        <w:r w:rsidRPr="00A61D5B">
          <w:rPr>
            <w:rFonts w:ascii="Times New Roman" w:hAnsi="Times New Roman" w:cs="Times New Roman"/>
          </w:rPr>
          <w:t>10.1007/bf02291481</w:t>
        </w:r>
      </w:hyperlink>
    </w:p>
    <w:p w14:paraId="16EA9D74"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Luce, R. D. (1986). </w:t>
      </w:r>
      <w:r w:rsidRPr="00A61D5B">
        <w:rPr>
          <w:rFonts w:ascii="Times New Roman" w:hAnsi="Times New Roman" w:cs="Times New Roman"/>
          <w:i/>
        </w:rPr>
        <w:t>Response times: Their role in inferring elementary mental organization</w:t>
      </w:r>
      <w:r w:rsidRPr="00A61D5B">
        <w:rPr>
          <w:rFonts w:ascii="Times New Roman" w:hAnsi="Times New Roman" w:cs="Times New Roman"/>
        </w:rPr>
        <w:t>. New York: Oxford University Press.</w:t>
      </w:r>
    </w:p>
    <w:p w14:paraId="41A729EE"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Mathôt, S., Schreij, D., &amp; Theeuwes, J. (2011). OpenSesame: An open-source, graphical experiment builder for the social sciences. </w:t>
      </w:r>
      <w:r w:rsidRPr="00A61D5B">
        <w:rPr>
          <w:rFonts w:ascii="Times New Roman" w:hAnsi="Times New Roman" w:cs="Times New Roman"/>
          <w:i/>
        </w:rPr>
        <w:t>Behavior Research Methods</w:t>
      </w:r>
      <w:r w:rsidRPr="00A61D5B">
        <w:rPr>
          <w:rFonts w:ascii="Times New Roman" w:hAnsi="Times New Roman" w:cs="Times New Roman"/>
        </w:rPr>
        <w:t xml:space="preserve">, </w:t>
      </w:r>
      <w:r w:rsidRPr="00A61D5B">
        <w:rPr>
          <w:rFonts w:ascii="Times New Roman" w:hAnsi="Times New Roman" w:cs="Times New Roman"/>
          <w:i/>
        </w:rPr>
        <w:t>44</w:t>
      </w:r>
      <w:r w:rsidRPr="00A61D5B">
        <w:rPr>
          <w:rFonts w:ascii="Times New Roman" w:hAnsi="Times New Roman" w:cs="Times New Roman"/>
        </w:rPr>
        <w:t>(2), 314–324. doi:</w:t>
      </w:r>
      <w:hyperlink r:id="rId26">
        <w:r w:rsidRPr="00A61D5B">
          <w:rPr>
            <w:rFonts w:ascii="Times New Roman" w:hAnsi="Times New Roman" w:cs="Times New Roman"/>
          </w:rPr>
          <w:t>10.3758/s13428-011-0168-7</w:t>
        </w:r>
      </w:hyperlink>
    </w:p>
    <w:p w14:paraId="4500718B"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Oppenheim, G. M., Dell, G. S., &amp; Schwartz, M. F. (2010). The dark side of incremental learning: A model of cumulative semantic interference during lexical access in speech production. </w:t>
      </w:r>
      <w:r w:rsidRPr="00A61D5B">
        <w:rPr>
          <w:rFonts w:ascii="Times New Roman" w:hAnsi="Times New Roman" w:cs="Times New Roman"/>
          <w:i/>
        </w:rPr>
        <w:t>Cognition</w:t>
      </w:r>
      <w:r w:rsidRPr="00A61D5B">
        <w:rPr>
          <w:rFonts w:ascii="Times New Roman" w:hAnsi="Times New Roman" w:cs="Times New Roman"/>
        </w:rPr>
        <w:t xml:space="preserve">, </w:t>
      </w:r>
      <w:r w:rsidRPr="00A61D5B">
        <w:rPr>
          <w:rFonts w:ascii="Times New Roman" w:hAnsi="Times New Roman" w:cs="Times New Roman"/>
          <w:i/>
        </w:rPr>
        <w:t>114</w:t>
      </w:r>
      <w:r w:rsidRPr="00A61D5B">
        <w:rPr>
          <w:rFonts w:ascii="Times New Roman" w:hAnsi="Times New Roman" w:cs="Times New Roman"/>
        </w:rPr>
        <w:t>(2), 227–252. doi:</w:t>
      </w:r>
      <w:hyperlink r:id="rId27">
        <w:r w:rsidRPr="00A61D5B">
          <w:rPr>
            <w:rFonts w:ascii="Times New Roman" w:hAnsi="Times New Roman" w:cs="Times New Roman"/>
          </w:rPr>
          <w:t>10.1016/j.cognition.2009.09.007</w:t>
        </w:r>
      </w:hyperlink>
    </w:p>
    <w:p w14:paraId="3D10B26B"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Paivio, A. (1975). Perceptual comparisons through the mind’s eye. </w:t>
      </w:r>
      <w:r w:rsidRPr="00A61D5B">
        <w:rPr>
          <w:rFonts w:ascii="Times New Roman" w:hAnsi="Times New Roman" w:cs="Times New Roman"/>
          <w:i/>
        </w:rPr>
        <w:t>Memory &amp; Cognition</w:t>
      </w:r>
      <w:r w:rsidRPr="00A61D5B">
        <w:rPr>
          <w:rFonts w:ascii="Times New Roman" w:hAnsi="Times New Roman" w:cs="Times New Roman"/>
        </w:rPr>
        <w:t xml:space="preserve">, </w:t>
      </w:r>
      <w:r w:rsidRPr="00A61D5B">
        <w:rPr>
          <w:rFonts w:ascii="Times New Roman" w:hAnsi="Times New Roman" w:cs="Times New Roman"/>
          <w:i/>
        </w:rPr>
        <w:t>3</w:t>
      </w:r>
      <w:r w:rsidRPr="00A61D5B">
        <w:rPr>
          <w:rFonts w:ascii="Times New Roman" w:hAnsi="Times New Roman" w:cs="Times New Roman"/>
        </w:rPr>
        <w:t>(6), 635–647. doi:</w:t>
      </w:r>
      <w:hyperlink r:id="rId28">
        <w:r w:rsidRPr="00A61D5B">
          <w:rPr>
            <w:rFonts w:ascii="Times New Roman" w:hAnsi="Times New Roman" w:cs="Times New Roman"/>
          </w:rPr>
          <w:t>10.3758/bf03198229</w:t>
        </w:r>
      </w:hyperlink>
    </w:p>
    <w:p w14:paraId="4499934E"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Ratcliff, R., &amp; McKoon, G. (2008). The diffusion decision model: Theory and data for two-choice decision tasks. </w:t>
      </w:r>
      <w:r w:rsidRPr="00A61D5B">
        <w:rPr>
          <w:rFonts w:ascii="Times New Roman" w:hAnsi="Times New Roman" w:cs="Times New Roman"/>
          <w:i/>
        </w:rPr>
        <w:t>Neural Computation</w:t>
      </w:r>
      <w:r w:rsidRPr="00A61D5B">
        <w:rPr>
          <w:rFonts w:ascii="Times New Roman" w:hAnsi="Times New Roman" w:cs="Times New Roman"/>
        </w:rPr>
        <w:t xml:space="preserve">, </w:t>
      </w:r>
      <w:r w:rsidRPr="00A61D5B">
        <w:rPr>
          <w:rFonts w:ascii="Times New Roman" w:hAnsi="Times New Roman" w:cs="Times New Roman"/>
          <w:i/>
        </w:rPr>
        <w:t>20</w:t>
      </w:r>
      <w:r w:rsidRPr="00A61D5B">
        <w:rPr>
          <w:rFonts w:ascii="Times New Roman" w:hAnsi="Times New Roman" w:cs="Times New Roman"/>
        </w:rPr>
        <w:t>(4), 873–922. doi:</w:t>
      </w:r>
      <w:hyperlink r:id="rId29">
        <w:r w:rsidRPr="00A61D5B">
          <w:rPr>
            <w:rFonts w:ascii="Times New Roman" w:hAnsi="Times New Roman" w:cs="Times New Roman"/>
          </w:rPr>
          <w:t>10.1162/neco.2008.12-06-420</w:t>
        </w:r>
      </w:hyperlink>
    </w:p>
    <w:p w14:paraId="52B4E868"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Ratcliff, R., Smith, P. L., Brown, S. D., &amp; McKoon, G. (2016). Diffusion decision model: Current issues and history. </w:t>
      </w:r>
      <w:r w:rsidRPr="00A61D5B">
        <w:rPr>
          <w:rFonts w:ascii="Times New Roman" w:hAnsi="Times New Roman" w:cs="Times New Roman"/>
          <w:i/>
        </w:rPr>
        <w:t>Trends in Cognitive Sciences</w:t>
      </w:r>
      <w:r w:rsidRPr="00A61D5B">
        <w:rPr>
          <w:rFonts w:ascii="Times New Roman" w:hAnsi="Times New Roman" w:cs="Times New Roman"/>
        </w:rPr>
        <w:t xml:space="preserve">, </w:t>
      </w:r>
      <w:r w:rsidRPr="00A61D5B">
        <w:rPr>
          <w:rFonts w:ascii="Times New Roman" w:hAnsi="Times New Roman" w:cs="Times New Roman"/>
          <w:i/>
        </w:rPr>
        <w:t>20</w:t>
      </w:r>
      <w:r w:rsidRPr="00A61D5B">
        <w:rPr>
          <w:rFonts w:ascii="Times New Roman" w:hAnsi="Times New Roman" w:cs="Times New Roman"/>
        </w:rPr>
        <w:t>(4), 260–281. doi:</w:t>
      </w:r>
      <w:hyperlink r:id="rId30">
        <w:r w:rsidRPr="00A61D5B">
          <w:rPr>
            <w:rFonts w:ascii="Times New Roman" w:hAnsi="Times New Roman" w:cs="Times New Roman"/>
          </w:rPr>
          <w:t>10.1016/j.tics.2016.01.007</w:t>
        </w:r>
      </w:hyperlink>
    </w:p>
    <w:p w14:paraId="0144CC28"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Reike, D., &amp; Schwarz, W. (2017). Exploring the origin of the number-size congruency effect: Sensitivity or response bias? </w:t>
      </w:r>
      <w:r w:rsidRPr="00A61D5B">
        <w:rPr>
          <w:rFonts w:ascii="Times New Roman" w:hAnsi="Times New Roman" w:cs="Times New Roman"/>
          <w:i/>
        </w:rPr>
        <w:t>Attention, Perception, &amp; Psychophysics</w:t>
      </w:r>
      <w:r w:rsidRPr="00A61D5B">
        <w:rPr>
          <w:rFonts w:ascii="Times New Roman" w:hAnsi="Times New Roman" w:cs="Times New Roman"/>
        </w:rPr>
        <w:t xml:space="preserve">, </w:t>
      </w:r>
      <w:r w:rsidRPr="00A61D5B">
        <w:rPr>
          <w:rFonts w:ascii="Times New Roman" w:hAnsi="Times New Roman" w:cs="Times New Roman"/>
          <w:i/>
        </w:rPr>
        <w:t>79</w:t>
      </w:r>
      <w:r w:rsidRPr="00A61D5B">
        <w:rPr>
          <w:rFonts w:ascii="Times New Roman" w:hAnsi="Times New Roman" w:cs="Times New Roman"/>
        </w:rPr>
        <w:t>(2), 383–388. doi:</w:t>
      </w:r>
      <w:hyperlink r:id="rId31">
        <w:r w:rsidRPr="00A61D5B">
          <w:rPr>
            <w:rFonts w:ascii="Times New Roman" w:hAnsi="Times New Roman" w:cs="Times New Roman"/>
          </w:rPr>
          <w:t>10.3758/s13414-016-1267-4</w:t>
        </w:r>
      </w:hyperlink>
    </w:p>
    <w:p w14:paraId="4758BD00"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Rouder, J. N. (2016). The what, why, and how of born-open data. </w:t>
      </w:r>
      <w:r w:rsidRPr="00A61D5B">
        <w:rPr>
          <w:rFonts w:ascii="Times New Roman" w:hAnsi="Times New Roman" w:cs="Times New Roman"/>
          <w:i/>
        </w:rPr>
        <w:t>Behavioral Research Methods</w:t>
      </w:r>
      <w:r w:rsidRPr="00A61D5B">
        <w:rPr>
          <w:rFonts w:ascii="Times New Roman" w:hAnsi="Times New Roman" w:cs="Times New Roman"/>
        </w:rPr>
        <w:t xml:space="preserve">, </w:t>
      </w:r>
      <w:r w:rsidRPr="00A61D5B">
        <w:rPr>
          <w:rFonts w:ascii="Times New Roman" w:hAnsi="Times New Roman" w:cs="Times New Roman"/>
          <w:i/>
        </w:rPr>
        <w:t>48</w:t>
      </w:r>
      <w:r w:rsidRPr="00A61D5B">
        <w:rPr>
          <w:rFonts w:ascii="Times New Roman" w:hAnsi="Times New Roman" w:cs="Times New Roman"/>
        </w:rPr>
        <w:t>, 1062–1069. doi:</w:t>
      </w:r>
      <w:hyperlink r:id="rId32">
        <w:r w:rsidRPr="00A61D5B">
          <w:rPr>
            <w:rFonts w:ascii="Times New Roman" w:hAnsi="Times New Roman" w:cs="Times New Roman"/>
          </w:rPr>
          <w:t>10.3758/s13428-015-0630-z</w:t>
        </w:r>
      </w:hyperlink>
    </w:p>
    <w:p w14:paraId="325771C2"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lastRenderedPageBreak/>
        <w:t xml:space="preserve">Rouder, J. N., Speckman, P. L., Sun, D., Morey, R. D., &amp; Iverson, G. (2009). Bayesian </w:t>
      </w:r>
      <m:oMath>
        <m:r>
          <w:rPr>
            <w:rFonts w:ascii="Cambria Math" w:hAnsi="Cambria Math" w:cs="Times New Roman"/>
          </w:rPr>
          <m:t>t</m:t>
        </m:r>
      </m:oMath>
      <w:r w:rsidRPr="00A61D5B">
        <w:rPr>
          <w:rFonts w:ascii="Times New Roman" w:hAnsi="Times New Roman" w:cs="Times New Roman"/>
        </w:rPr>
        <w:t xml:space="preserve"> tests for accepting and rejecting the null hypothesis. </w:t>
      </w:r>
      <w:r w:rsidRPr="00A61D5B">
        <w:rPr>
          <w:rFonts w:ascii="Times New Roman" w:hAnsi="Times New Roman" w:cs="Times New Roman"/>
          <w:i/>
        </w:rPr>
        <w:t>Psychonomic Bulletin &amp; Review</w:t>
      </w:r>
      <w:r w:rsidRPr="00A61D5B">
        <w:rPr>
          <w:rFonts w:ascii="Times New Roman" w:hAnsi="Times New Roman" w:cs="Times New Roman"/>
        </w:rPr>
        <w:t xml:space="preserve">, </w:t>
      </w:r>
      <w:r w:rsidRPr="00A61D5B">
        <w:rPr>
          <w:rFonts w:ascii="Times New Roman" w:hAnsi="Times New Roman" w:cs="Times New Roman"/>
          <w:i/>
        </w:rPr>
        <w:t>16</w:t>
      </w:r>
      <w:r w:rsidRPr="00A61D5B">
        <w:rPr>
          <w:rFonts w:ascii="Times New Roman" w:hAnsi="Times New Roman" w:cs="Times New Roman"/>
        </w:rPr>
        <w:t>(2), 225–237. doi:</w:t>
      </w:r>
      <w:hyperlink r:id="rId33">
        <w:r w:rsidRPr="00A61D5B">
          <w:rPr>
            <w:rFonts w:ascii="Times New Roman" w:hAnsi="Times New Roman" w:cs="Times New Roman"/>
          </w:rPr>
          <w:t>10.3758/pbr.16.2.225</w:t>
        </w:r>
      </w:hyperlink>
    </w:p>
    <w:p w14:paraId="5FB3ECBA"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Santens, S., &amp; Verguts, T. (2011). The size congruity effect: Is bigger always more? </w:t>
      </w:r>
      <w:r w:rsidRPr="00A61D5B">
        <w:rPr>
          <w:rFonts w:ascii="Times New Roman" w:hAnsi="Times New Roman" w:cs="Times New Roman"/>
          <w:i/>
        </w:rPr>
        <w:t>Cognition</w:t>
      </w:r>
      <w:r w:rsidRPr="00A61D5B">
        <w:rPr>
          <w:rFonts w:ascii="Times New Roman" w:hAnsi="Times New Roman" w:cs="Times New Roman"/>
        </w:rPr>
        <w:t xml:space="preserve">, </w:t>
      </w:r>
      <w:r w:rsidRPr="00A61D5B">
        <w:rPr>
          <w:rFonts w:ascii="Times New Roman" w:hAnsi="Times New Roman" w:cs="Times New Roman"/>
          <w:i/>
        </w:rPr>
        <w:t>118</w:t>
      </w:r>
      <w:r w:rsidRPr="00A61D5B">
        <w:rPr>
          <w:rFonts w:ascii="Times New Roman" w:hAnsi="Times New Roman" w:cs="Times New Roman"/>
        </w:rPr>
        <w:t>(1), 94–110. doi:</w:t>
      </w:r>
      <w:hyperlink r:id="rId34">
        <w:r w:rsidRPr="00A61D5B">
          <w:rPr>
            <w:rFonts w:ascii="Times New Roman" w:hAnsi="Times New Roman" w:cs="Times New Roman"/>
          </w:rPr>
          <w:t>10.1016/j.cognition.2010.10.014</w:t>
        </w:r>
      </w:hyperlink>
    </w:p>
    <w:p w14:paraId="148D7FD4"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Schwarz, W. (2001). The ex-Wald distribution as a descriptive model of response times. </w:t>
      </w:r>
      <w:r w:rsidRPr="00A61D5B">
        <w:rPr>
          <w:rFonts w:ascii="Times New Roman" w:hAnsi="Times New Roman" w:cs="Times New Roman"/>
          <w:i/>
        </w:rPr>
        <w:t>Behavior Research Methods, Instruments, &amp; Computers</w:t>
      </w:r>
      <w:r w:rsidRPr="00A61D5B">
        <w:rPr>
          <w:rFonts w:ascii="Times New Roman" w:hAnsi="Times New Roman" w:cs="Times New Roman"/>
        </w:rPr>
        <w:t xml:space="preserve">, </w:t>
      </w:r>
      <w:r w:rsidRPr="00A61D5B">
        <w:rPr>
          <w:rFonts w:ascii="Times New Roman" w:hAnsi="Times New Roman" w:cs="Times New Roman"/>
          <w:i/>
        </w:rPr>
        <w:t>33</w:t>
      </w:r>
      <w:r w:rsidRPr="00A61D5B">
        <w:rPr>
          <w:rFonts w:ascii="Times New Roman" w:hAnsi="Times New Roman" w:cs="Times New Roman"/>
        </w:rPr>
        <w:t>(4), 457–469. doi:</w:t>
      </w:r>
      <w:hyperlink r:id="rId35">
        <w:r w:rsidRPr="00A61D5B">
          <w:rPr>
            <w:rFonts w:ascii="Times New Roman" w:hAnsi="Times New Roman" w:cs="Times New Roman"/>
          </w:rPr>
          <w:t>10.3758/bf03195403</w:t>
        </w:r>
      </w:hyperlink>
    </w:p>
    <w:p w14:paraId="136D9CD8"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Schwarz, W., &amp; Heinze, H. J. (1998). On the interaction of numerical and size information in digit comparison: A behavioral and event-related potential study. </w:t>
      </w:r>
      <w:r w:rsidRPr="00A61D5B">
        <w:rPr>
          <w:rFonts w:ascii="Times New Roman" w:hAnsi="Times New Roman" w:cs="Times New Roman"/>
          <w:i/>
        </w:rPr>
        <w:t>Neuropsychologia</w:t>
      </w:r>
      <w:r w:rsidRPr="00A61D5B">
        <w:rPr>
          <w:rFonts w:ascii="Times New Roman" w:hAnsi="Times New Roman" w:cs="Times New Roman"/>
        </w:rPr>
        <w:t xml:space="preserve">, </w:t>
      </w:r>
      <w:r w:rsidRPr="00A61D5B">
        <w:rPr>
          <w:rFonts w:ascii="Times New Roman" w:hAnsi="Times New Roman" w:cs="Times New Roman"/>
          <w:i/>
        </w:rPr>
        <w:t>36</w:t>
      </w:r>
      <w:r w:rsidRPr="00A61D5B">
        <w:rPr>
          <w:rFonts w:ascii="Times New Roman" w:hAnsi="Times New Roman" w:cs="Times New Roman"/>
        </w:rPr>
        <w:t>(11), 1167–1179. doi:</w:t>
      </w:r>
      <w:hyperlink r:id="rId36">
        <w:r w:rsidRPr="00A61D5B">
          <w:rPr>
            <w:rFonts w:ascii="Times New Roman" w:hAnsi="Times New Roman" w:cs="Times New Roman"/>
          </w:rPr>
          <w:t>10.1016/s0028-3932(98)00001-3</w:t>
        </w:r>
      </w:hyperlink>
    </w:p>
    <w:p w14:paraId="6F26C01D"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Sobel, K. V., Puri, A. M., &amp; Faulkenberry, T. J. (2016). Bottom-up and top-down attentional contributions to the size congruity effect. </w:t>
      </w:r>
      <w:r w:rsidRPr="00A61D5B">
        <w:rPr>
          <w:rFonts w:ascii="Times New Roman" w:hAnsi="Times New Roman" w:cs="Times New Roman"/>
          <w:i/>
        </w:rPr>
        <w:t>Attention, Perception, &amp; Psychophysics</w:t>
      </w:r>
      <w:r w:rsidRPr="00A61D5B">
        <w:rPr>
          <w:rFonts w:ascii="Times New Roman" w:hAnsi="Times New Roman" w:cs="Times New Roman"/>
        </w:rPr>
        <w:t xml:space="preserve">, </w:t>
      </w:r>
      <w:r w:rsidRPr="00A61D5B">
        <w:rPr>
          <w:rFonts w:ascii="Times New Roman" w:hAnsi="Times New Roman" w:cs="Times New Roman"/>
          <w:i/>
        </w:rPr>
        <w:t>78</w:t>
      </w:r>
      <w:r w:rsidRPr="00A61D5B">
        <w:rPr>
          <w:rFonts w:ascii="Times New Roman" w:hAnsi="Times New Roman" w:cs="Times New Roman"/>
        </w:rPr>
        <w:t>(5), 1324–1336. doi:</w:t>
      </w:r>
      <w:hyperlink r:id="rId37">
        <w:r w:rsidRPr="00A61D5B">
          <w:rPr>
            <w:rFonts w:ascii="Times New Roman" w:hAnsi="Times New Roman" w:cs="Times New Roman"/>
          </w:rPr>
          <w:t>10.3758/s13414-016-1098-3</w:t>
        </w:r>
      </w:hyperlink>
    </w:p>
    <w:p w14:paraId="3CA51AD6"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Sobel, K. V., Puri, A. M., Faulkenberry, T. J., &amp; Dague, T. D. (2017). Visual search for conjunctions of physical and numerical size shows that they are processed independently. </w:t>
      </w:r>
      <w:r w:rsidRPr="00A61D5B">
        <w:rPr>
          <w:rFonts w:ascii="Times New Roman" w:hAnsi="Times New Roman" w:cs="Times New Roman"/>
          <w:i/>
        </w:rPr>
        <w:t>Journal of Experimental Psychology: Human Perception and Performance</w:t>
      </w:r>
      <w:r w:rsidRPr="00A61D5B">
        <w:rPr>
          <w:rFonts w:ascii="Times New Roman" w:hAnsi="Times New Roman" w:cs="Times New Roman"/>
        </w:rPr>
        <w:t xml:space="preserve">, </w:t>
      </w:r>
      <w:r w:rsidRPr="00A61D5B">
        <w:rPr>
          <w:rFonts w:ascii="Times New Roman" w:hAnsi="Times New Roman" w:cs="Times New Roman"/>
          <w:i/>
        </w:rPr>
        <w:t>43</w:t>
      </w:r>
      <w:r w:rsidRPr="00A61D5B">
        <w:rPr>
          <w:rFonts w:ascii="Times New Roman" w:hAnsi="Times New Roman" w:cs="Times New Roman"/>
        </w:rPr>
        <w:t>(3), 444–453. doi:</w:t>
      </w:r>
      <w:hyperlink r:id="rId38">
        <w:r w:rsidRPr="00A61D5B">
          <w:rPr>
            <w:rFonts w:ascii="Times New Roman" w:hAnsi="Times New Roman" w:cs="Times New Roman"/>
          </w:rPr>
          <w:t>10.1037/xhp0000323</w:t>
        </w:r>
      </w:hyperlink>
    </w:p>
    <w:p w14:paraId="250358CA"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Szűcs, D., &amp; Soltész, F. (2007). Event-related potentials dissociate facilitation and interference effects in the numerical Stroop paradigm. </w:t>
      </w:r>
      <w:r w:rsidRPr="00A61D5B">
        <w:rPr>
          <w:rFonts w:ascii="Times New Roman" w:hAnsi="Times New Roman" w:cs="Times New Roman"/>
          <w:i/>
        </w:rPr>
        <w:t>Neuropsychologia</w:t>
      </w:r>
      <w:r w:rsidRPr="00A61D5B">
        <w:rPr>
          <w:rFonts w:ascii="Times New Roman" w:hAnsi="Times New Roman" w:cs="Times New Roman"/>
        </w:rPr>
        <w:t xml:space="preserve">, </w:t>
      </w:r>
      <w:r w:rsidRPr="00A61D5B">
        <w:rPr>
          <w:rFonts w:ascii="Times New Roman" w:hAnsi="Times New Roman" w:cs="Times New Roman"/>
          <w:i/>
        </w:rPr>
        <w:t>45</w:t>
      </w:r>
      <w:r w:rsidRPr="00A61D5B">
        <w:rPr>
          <w:rFonts w:ascii="Times New Roman" w:hAnsi="Times New Roman" w:cs="Times New Roman"/>
        </w:rPr>
        <w:t>(14), 3190–3202. doi:</w:t>
      </w:r>
      <w:hyperlink r:id="rId39">
        <w:r w:rsidRPr="00A61D5B">
          <w:rPr>
            <w:rFonts w:ascii="Times New Roman" w:hAnsi="Times New Roman" w:cs="Times New Roman"/>
          </w:rPr>
          <w:t>10.1016/j.neuropsychologia.2007.06.013</w:t>
        </w:r>
      </w:hyperlink>
    </w:p>
    <w:p w14:paraId="0C71F715"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Szűcs, D., &amp; Soltész, F. (2008). The interaction of task-relevant and task-irrelevant stimulus features in the number/size congruency paradigm: An ERP study. </w:t>
      </w:r>
      <w:r w:rsidRPr="00A61D5B">
        <w:rPr>
          <w:rFonts w:ascii="Times New Roman" w:hAnsi="Times New Roman" w:cs="Times New Roman"/>
          <w:i/>
        </w:rPr>
        <w:t>Brain Research</w:t>
      </w:r>
      <w:r w:rsidRPr="00A61D5B">
        <w:rPr>
          <w:rFonts w:ascii="Times New Roman" w:hAnsi="Times New Roman" w:cs="Times New Roman"/>
        </w:rPr>
        <w:t xml:space="preserve">, </w:t>
      </w:r>
      <w:r w:rsidRPr="00A61D5B">
        <w:rPr>
          <w:rFonts w:ascii="Times New Roman" w:hAnsi="Times New Roman" w:cs="Times New Roman"/>
          <w:i/>
        </w:rPr>
        <w:t>1190</w:t>
      </w:r>
      <w:r w:rsidRPr="00A61D5B">
        <w:rPr>
          <w:rFonts w:ascii="Times New Roman" w:hAnsi="Times New Roman" w:cs="Times New Roman"/>
        </w:rPr>
        <w:t>, 143–158. doi:</w:t>
      </w:r>
      <w:hyperlink r:id="rId40">
        <w:r w:rsidRPr="00A61D5B">
          <w:rPr>
            <w:rFonts w:ascii="Times New Roman" w:hAnsi="Times New Roman" w:cs="Times New Roman"/>
          </w:rPr>
          <w:t>10.1016/j.brainres.2007.11.010</w:t>
        </w:r>
      </w:hyperlink>
    </w:p>
    <w:p w14:paraId="0B208EDD"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lastRenderedPageBreak/>
        <w:t xml:space="preserve">Verguts, T., Fias, W., &amp; Stevens, M. (2005). A model of exact small-number representation. </w:t>
      </w:r>
      <w:r w:rsidRPr="00A61D5B">
        <w:rPr>
          <w:rFonts w:ascii="Times New Roman" w:hAnsi="Times New Roman" w:cs="Times New Roman"/>
          <w:i/>
        </w:rPr>
        <w:t>Psychonomic Bulletin &amp; Review</w:t>
      </w:r>
      <w:r w:rsidRPr="00A61D5B">
        <w:rPr>
          <w:rFonts w:ascii="Times New Roman" w:hAnsi="Times New Roman" w:cs="Times New Roman"/>
        </w:rPr>
        <w:t xml:space="preserve">, </w:t>
      </w:r>
      <w:r w:rsidRPr="00A61D5B">
        <w:rPr>
          <w:rFonts w:ascii="Times New Roman" w:hAnsi="Times New Roman" w:cs="Times New Roman"/>
          <w:i/>
        </w:rPr>
        <w:t>12</w:t>
      </w:r>
      <w:r w:rsidRPr="00A61D5B">
        <w:rPr>
          <w:rFonts w:ascii="Times New Roman" w:hAnsi="Times New Roman" w:cs="Times New Roman"/>
        </w:rPr>
        <w:t>(1), 66–80. doi:</w:t>
      </w:r>
      <w:hyperlink r:id="rId41">
        <w:r w:rsidRPr="00A61D5B">
          <w:rPr>
            <w:rFonts w:ascii="Times New Roman" w:hAnsi="Times New Roman" w:cs="Times New Roman"/>
          </w:rPr>
          <w:t>10.3758/bf03196349</w:t>
        </w:r>
      </w:hyperlink>
    </w:p>
    <w:p w14:paraId="7B156A88" w14:textId="77777777" w:rsidR="00663E15" w:rsidRPr="00A61D5B" w:rsidRDefault="00585E18" w:rsidP="00335DFB">
      <w:pPr>
        <w:spacing w:before="0" w:after="0" w:line="480" w:lineRule="auto"/>
        <w:ind w:left="720" w:hanging="720"/>
        <w:rPr>
          <w:rFonts w:ascii="Times New Roman" w:hAnsi="Times New Roman" w:cs="Times New Roman"/>
        </w:rPr>
      </w:pPr>
      <w:r w:rsidRPr="00A61D5B">
        <w:rPr>
          <w:rFonts w:ascii="Times New Roman" w:hAnsi="Times New Roman" w:cs="Times New Roman"/>
        </w:rPr>
        <w:t xml:space="preserve">Wagenmakers, E.-J. (2007). A practical solution to the pervasive problems of </w:t>
      </w:r>
      <m:oMath>
        <m:r>
          <w:rPr>
            <w:rFonts w:ascii="Cambria Math" w:hAnsi="Cambria Math" w:cs="Times New Roman"/>
          </w:rPr>
          <m:t>p</m:t>
        </m:r>
      </m:oMath>
      <w:r w:rsidRPr="00A61D5B">
        <w:rPr>
          <w:rFonts w:ascii="Times New Roman" w:hAnsi="Times New Roman" w:cs="Times New Roman"/>
        </w:rPr>
        <w:t xml:space="preserve"> values. </w:t>
      </w:r>
      <w:r w:rsidRPr="00A61D5B">
        <w:rPr>
          <w:rFonts w:ascii="Times New Roman" w:hAnsi="Times New Roman" w:cs="Times New Roman"/>
          <w:i/>
        </w:rPr>
        <w:t>Psychonomic Bulletin &amp; Review</w:t>
      </w:r>
      <w:r w:rsidRPr="00A61D5B">
        <w:rPr>
          <w:rFonts w:ascii="Times New Roman" w:hAnsi="Times New Roman" w:cs="Times New Roman"/>
        </w:rPr>
        <w:t xml:space="preserve">, </w:t>
      </w:r>
      <w:r w:rsidRPr="00A61D5B">
        <w:rPr>
          <w:rFonts w:ascii="Times New Roman" w:hAnsi="Times New Roman" w:cs="Times New Roman"/>
          <w:i/>
        </w:rPr>
        <w:t>14</w:t>
      </w:r>
      <w:r w:rsidRPr="00A61D5B">
        <w:rPr>
          <w:rFonts w:ascii="Times New Roman" w:hAnsi="Times New Roman" w:cs="Times New Roman"/>
        </w:rPr>
        <w:t>(5), 779–804. doi:</w:t>
      </w:r>
      <w:hyperlink r:id="rId42">
        <w:r w:rsidRPr="00A61D5B">
          <w:rPr>
            <w:rFonts w:ascii="Times New Roman" w:hAnsi="Times New Roman" w:cs="Times New Roman"/>
          </w:rPr>
          <w:t>10.3758/bf03194105</w:t>
        </w:r>
      </w:hyperlink>
    </w:p>
    <w:sectPr w:rsidR="00663E15" w:rsidRPr="00A61D5B" w:rsidSect="005355D7">
      <w:headerReference w:type="even" r:id="rId43"/>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1CCB4" w14:textId="77777777" w:rsidR="003D3CC6" w:rsidRDefault="003D3CC6">
      <w:pPr>
        <w:spacing w:before="0" w:after="0" w:line="240" w:lineRule="auto"/>
      </w:pPr>
      <w:r>
        <w:separator/>
      </w:r>
    </w:p>
  </w:endnote>
  <w:endnote w:type="continuationSeparator" w:id="0">
    <w:p w14:paraId="524EE1B9" w14:textId="77777777" w:rsidR="003D3CC6" w:rsidRDefault="003D3C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B7461" w14:textId="77777777" w:rsidR="003D3CC6" w:rsidRDefault="003D3CC6">
      <w:r>
        <w:separator/>
      </w:r>
    </w:p>
  </w:footnote>
  <w:footnote w:type="continuationSeparator" w:id="0">
    <w:p w14:paraId="1C7DFC03" w14:textId="77777777" w:rsidR="003D3CC6" w:rsidRDefault="003D3C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7D7C0" w14:textId="77777777" w:rsidR="005355D7" w:rsidRDefault="005355D7" w:rsidP="00D02A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CA89A" w14:textId="77777777" w:rsidR="005355D7" w:rsidRDefault="005355D7" w:rsidP="005355D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F64045"/>
    <w:multiLevelType w:val="multilevel"/>
    <w:tmpl w:val="02782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7881"/>
    <w:rsid w:val="00335DFB"/>
    <w:rsid w:val="0035396C"/>
    <w:rsid w:val="003D3CC6"/>
    <w:rsid w:val="004614AA"/>
    <w:rsid w:val="004E29B3"/>
    <w:rsid w:val="005355D7"/>
    <w:rsid w:val="00585E18"/>
    <w:rsid w:val="00590D07"/>
    <w:rsid w:val="00663E15"/>
    <w:rsid w:val="006A2A04"/>
    <w:rsid w:val="00784D58"/>
    <w:rsid w:val="008D6863"/>
    <w:rsid w:val="00901619"/>
    <w:rsid w:val="00A61D5B"/>
    <w:rsid w:val="00B86B75"/>
    <w:rsid w:val="00BC48D5"/>
    <w:rsid w:val="00C36279"/>
    <w:rsid w:val="00E315A3"/>
    <w:rsid w:val="00EE77E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BE1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Header">
    <w:name w:val="header"/>
    <w:basedOn w:val="Normal"/>
    <w:link w:val="HeaderChar"/>
    <w:unhideWhenUsed/>
    <w:rsid w:val="005355D7"/>
    <w:pPr>
      <w:tabs>
        <w:tab w:val="center" w:pos="4680"/>
        <w:tab w:val="right" w:pos="9360"/>
      </w:tabs>
      <w:spacing w:before="0" w:after="0" w:line="240" w:lineRule="auto"/>
    </w:pPr>
  </w:style>
  <w:style w:type="character" w:customStyle="1" w:styleId="HeaderChar">
    <w:name w:val="Header Char"/>
    <w:basedOn w:val="DefaultParagraphFont"/>
    <w:link w:val="Header"/>
    <w:rsid w:val="005355D7"/>
    <w:rPr>
      <w:rFonts w:ascii="Times" w:hAnsi="Times"/>
    </w:rPr>
  </w:style>
  <w:style w:type="paragraph" w:styleId="Footer">
    <w:name w:val="footer"/>
    <w:basedOn w:val="Normal"/>
    <w:link w:val="FooterChar"/>
    <w:unhideWhenUsed/>
    <w:rsid w:val="005355D7"/>
    <w:pPr>
      <w:tabs>
        <w:tab w:val="center" w:pos="4680"/>
        <w:tab w:val="right" w:pos="9360"/>
      </w:tabs>
      <w:spacing w:before="0" w:after="0" w:line="240" w:lineRule="auto"/>
    </w:pPr>
  </w:style>
  <w:style w:type="character" w:customStyle="1" w:styleId="FooterChar">
    <w:name w:val="Footer Char"/>
    <w:basedOn w:val="DefaultParagraphFont"/>
    <w:link w:val="Footer"/>
    <w:rsid w:val="005355D7"/>
    <w:rPr>
      <w:rFonts w:ascii="Times" w:hAnsi="Times"/>
    </w:rPr>
  </w:style>
  <w:style w:type="character" w:styleId="PageNumber">
    <w:name w:val="page number"/>
    <w:basedOn w:val="DefaultParagraphFont"/>
    <w:semiHidden/>
    <w:unhideWhenUsed/>
    <w:rsid w:val="00535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37/a0028189" TargetMode="External"/><Relationship Id="rId21" Type="http://schemas.openxmlformats.org/officeDocument/2006/relationships/hyperlink" Target="https://doi.org/10.3758/bf03202431" TargetMode="External"/><Relationship Id="rId22" Type="http://schemas.openxmlformats.org/officeDocument/2006/relationships/hyperlink" Target="https://doi.org/10.2307/2291091" TargetMode="External"/><Relationship Id="rId23" Type="http://schemas.openxmlformats.org/officeDocument/2006/relationships/hyperlink" Target="https://doi.org/10.1007/s00426-016-0771-4" TargetMode="External"/><Relationship Id="rId24" Type="http://schemas.openxmlformats.org/officeDocument/2006/relationships/hyperlink" Target="https://doi.org/10.1016/j.jesp.2013.03.013" TargetMode="External"/><Relationship Id="rId25" Type="http://schemas.openxmlformats.org/officeDocument/2006/relationships/hyperlink" Target="https://doi.org/10.1007/bf02291481" TargetMode="External"/><Relationship Id="rId26" Type="http://schemas.openxmlformats.org/officeDocument/2006/relationships/hyperlink" Target="https://doi.org/10.3758/s13428-011-0168-7" TargetMode="External"/><Relationship Id="rId27" Type="http://schemas.openxmlformats.org/officeDocument/2006/relationships/hyperlink" Target="https://doi.org/10.1016/j.cognition.2009.09.007" TargetMode="External"/><Relationship Id="rId28" Type="http://schemas.openxmlformats.org/officeDocument/2006/relationships/hyperlink" Target="https://doi.org/10.3758/bf03198229" TargetMode="External"/><Relationship Id="rId29" Type="http://schemas.openxmlformats.org/officeDocument/2006/relationships/hyperlink" Target="https://doi.org/10.1162/neco.2008.12-06-42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016/j.tics.2016.01.007" TargetMode="External"/><Relationship Id="rId31" Type="http://schemas.openxmlformats.org/officeDocument/2006/relationships/hyperlink" Target="https://doi.org/10.3758/s13414-016-1267-4" TargetMode="External"/><Relationship Id="rId32" Type="http://schemas.openxmlformats.org/officeDocument/2006/relationships/hyperlink" Target="https://doi.org/10.3758/s13428-015-0630-z" TargetMode="External"/><Relationship Id="rId9" Type="http://schemas.openxmlformats.org/officeDocument/2006/relationships/hyperlink" Target="https://doi.org/10.1037/met0000066" TargetMode="External"/><Relationship Id="rId6" Type="http://schemas.openxmlformats.org/officeDocument/2006/relationships/endnotes" Target="endnotes.xml"/><Relationship Id="rId7" Type="http://schemas.openxmlformats.org/officeDocument/2006/relationships/hyperlink" Target="https://git.io/vAEE8" TargetMode="External"/><Relationship Id="rId8" Type="http://schemas.openxmlformats.org/officeDocument/2006/relationships/hyperlink" Target="mailto:faulkenberry@tarleton.edu" TargetMode="External"/><Relationship Id="rId33" Type="http://schemas.openxmlformats.org/officeDocument/2006/relationships/hyperlink" Target="https://doi.org/10.3758/pbr.16.2.225" TargetMode="External"/><Relationship Id="rId34" Type="http://schemas.openxmlformats.org/officeDocument/2006/relationships/hyperlink" Target="https://doi.org/10.1016/j.cognition.2010.10.014" TargetMode="External"/><Relationship Id="rId35" Type="http://schemas.openxmlformats.org/officeDocument/2006/relationships/hyperlink" Target="https://doi.org/10.3758/bf03195403" TargetMode="External"/><Relationship Id="rId36" Type="http://schemas.openxmlformats.org/officeDocument/2006/relationships/hyperlink" Target="https://doi.org/10.1016/s0028-3932(98)00001-3" TargetMode="External"/><Relationship Id="rId10" Type="http://schemas.openxmlformats.org/officeDocument/2006/relationships/hyperlink" Target="https://doi.org/10.1016/j.cogpsych.2015.07.002" TargetMode="External"/><Relationship Id="rId11" Type="http://schemas.openxmlformats.org/officeDocument/2006/relationships/hyperlink" Target="https://doi.org/10.1016/j.cogpsych.2007.12.002" TargetMode="External"/><Relationship Id="rId12" Type="http://schemas.openxmlformats.org/officeDocument/2006/relationships/hyperlink" Target="https://doi.org/10.1037/0096-3445.117.2.204" TargetMode="External"/><Relationship Id="rId13" Type="http://schemas.openxmlformats.org/officeDocument/2006/relationships/hyperlink" Target="https://doi.org/10.1037/h0087447" TargetMode="External"/><Relationship Id="rId14" Type="http://schemas.openxmlformats.org/officeDocument/2006/relationships/hyperlink" Target="https://doi.org/10.1111/j.1467-9280.2006.01719.x" TargetMode="External"/><Relationship Id="rId15" Type="http://schemas.openxmlformats.org/officeDocument/2006/relationships/hyperlink" Target="https://doi.org/10.1162/jocn.2007.19.6.957" TargetMode="External"/><Relationship Id="rId16" Type="http://schemas.openxmlformats.org/officeDocument/2006/relationships/hyperlink" Target="https://doi.org/10.3389/fpsyg.2017.01225" TargetMode="External"/><Relationship Id="rId17" Type="http://schemas.openxmlformats.org/officeDocument/2006/relationships/hyperlink" Target="https://doi.org/10.1016/j.actpsy.2015.11.010" TargetMode="External"/><Relationship Id="rId18" Type="http://schemas.openxmlformats.org/officeDocument/2006/relationships/hyperlink" Target="https://doi.org/10.1037/0096-1523.32.1.32" TargetMode="External"/><Relationship Id="rId19" Type="http://schemas.openxmlformats.org/officeDocument/2006/relationships/hyperlink" Target="https://doi.org/10.3758/bf03206550" TargetMode="External"/><Relationship Id="rId37" Type="http://schemas.openxmlformats.org/officeDocument/2006/relationships/hyperlink" Target="https://doi.org/10.3758/s13414-016-1098-3" TargetMode="External"/><Relationship Id="rId38" Type="http://schemas.openxmlformats.org/officeDocument/2006/relationships/hyperlink" Target="https://doi.org/10.1037/xhp0000323" TargetMode="External"/><Relationship Id="rId39" Type="http://schemas.openxmlformats.org/officeDocument/2006/relationships/hyperlink" Target="https://doi.org/10.1016/j.neuropsychologia.2007.06.013" TargetMode="External"/><Relationship Id="rId40" Type="http://schemas.openxmlformats.org/officeDocument/2006/relationships/hyperlink" Target="https://doi.org/10.1016/j.brainres.2007.11.010" TargetMode="External"/><Relationship Id="rId41" Type="http://schemas.openxmlformats.org/officeDocument/2006/relationships/hyperlink" Target="https://doi.org/10.3758/bf03196349" TargetMode="External"/><Relationship Id="rId42" Type="http://schemas.openxmlformats.org/officeDocument/2006/relationships/hyperlink" Target="https://doi.org/10.3758/bf03194105" TargetMode="External"/><Relationship Id="rId43" Type="http://schemas.openxmlformats.org/officeDocument/2006/relationships/header" Target="header1.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5125</Words>
  <Characters>29217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 shifted Wald decomposition of the numerical size-congruity effect: Support for a late interaction account</vt:lpstr>
    </vt:vector>
  </TitlesOfParts>
  <Company/>
  <LinksUpToDate>false</LinksUpToDate>
  <CharactersWithSpaces>34274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shifted Wald decomposition of the numerical size-congruity effect: Support for a late interaction account</dc:title>
  <dc:creator/>
  <cp:lastModifiedBy>Tom Faulkenberry</cp:lastModifiedBy>
  <cp:revision>8</cp:revision>
  <dcterms:created xsi:type="dcterms:W3CDTF">2018-05-18T09:56:00Z</dcterms:created>
  <dcterms:modified xsi:type="dcterms:W3CDTF">2018-05-18T12:56:00Z</dcterms:modified>
</cp:coreProperties>
</file>