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This Week</w:t>
      </w:r>
    </w:p>
    <w:p>
      <w:pPr>
        <w:spacing w:after="320"/>
      </w:pPr>
      <w:r>
        <w:rPr>
          <w:rFonts w:ascii="Segoe UI" w:hAnsi="Segoe UI"/>
          <w:color w:val="64748B"/>
          <w:sz w:val="20"/>
        </w:rPr>
        <w:t>Sprint &amp; Daily Focus  |  Week of October 23, 2026</w:t>
      </w:r>
    </w:p>
    <w:p>
      <w:r>
        <w:rPr>
          <w:rFonts w:ascii="Segoe UI" w:hAnsi="Segoe UI"/>
          <w:b/>
          <w:color w:val="5C2D91"/>
          <w:sz w:val="28"/>
        </w:rPr>
        <w:t>Daily Schedule &amp; Focus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Day</w:t>
            </w:r>
          </w:p>
        </w:tc>
        <w:tc>
          <w:tcPr>
            <w:tcW w:type="dxa" w:w="3744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Focus Area</w:t>
            </w:r>
          </w:p>
        </w:tc>
        <w:tc>
          <w:tcPr>
            <w:tcW w:type="dxa" w:w="3888"/>
            <w:shd w:fill="EDE7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3B0764"/>
                <w:sz w:val="20"/>
              </w:rPr>
              <w:t>Key Meetings &amp; Deliverables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Monday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Portfolio sync &amp; ATMS+ kickoff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9:00 AM Standup • 1:00 PM Core Team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Tuesday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FOLAA+ scope &amp; Vendor review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11:00 AM Vendor Review • 3:00 PM Workshop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Wednesday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GAL Sponsor approvals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10:00 AM Sponsor Check-in • 2:00 PM CAB Gate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Thursday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Deep work &amp; UAT prep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UAT Test Pack Review • Deep work block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5C2D91"/>
                <w:sz w:val="20"/>
              </w:rPr>
              <w:t>Friday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Weekly wrap-up &amp; broadcast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20"/>
              </w:rPr>
              <w:t>3:00 PM Retro • Publish executive summary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