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A376C"/>
          <w:sz w:val="48"/>
        </w:rPr>
        <w:t>Tracking System Integration &amp; Logistics Platform Enhancement Plan</w:t>
      </w:r>
    </w:p>
    <w:p>
      <w:pPr>
        <w:spacing w:after="360"/>
        <w:jc w:val="center"/>
      </w:pPr>
      <w:r>
        <w:rPr>
          <w:rFonts w:ascii="Calibri" w:hAnsi="Calibri"/>
          <w:color w:val="007B83"/>
          <w:sz w:val="32"/>
        </w:rPr>
        <w:t>Fleet Management System</w:t>
      </w:r>
    </w:p>
    <w:p>
      <w:pPr>
        <w:pBdr>
          <w:bottom w:val="single" w:sz="6" w:space="1" w:color="007B83"/>
        </w:pBdr>
        <w:spacing w:after="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A376C"/>
            <w:vAlign w:val="center"/>
          </w:tcPr>
          <w:p>
            <w:pPr>
              <w:ind w:left="120"/>
            </w:pPr>
            <w:r>
              <w:rPr>
                <w:rFonts w:ascii="Calibri" w:hAnsi="Calibri"/>
                <w:b/>
                <w:color w:val="FFFFFF"/>
                <w:sz w:val="21"/>
              </w:rPr>
              <w:t>Project Name</w:t>
            </w:r>
          </w:p>
        </w:tc>
        <w:tc>
          <w:tcPr>
            <w:tcW w:type="dxa" w:w="4680"/>
            <w:shd w:val="clear" w:color="auto" w:fill="E8EEF7"/>
            <w:vAlign w:val="center"/>
          </w:tcPr>
          <w:p>
            <w:pPr>
              <w:ind w:left="120"/>
            </w:pPr>
            <w:r>
              <w:rPr>
                <w:rFonts w:ascii="Calibri" w:hAnsi="Calibri"/>
                <w:color w:val="404040"/>
                <w:sz w:val="21"/>
              </w:rPr>
              <w:t>Fleet Management System</w:t>
            </w:r>
          </w:p>
        </w:tc>
      </w:tr>
      <w:tr>
        <w:tc>
          <w:tcPr>
            <w:tcW w:type="dxa" w:w="4680"/>
            <w:shd w:val="clear" w:color="auto" w:fill="1A376C"/>
            <w:vAlign w:val="center"/>
          </w:tcPr>
          <w:p>
            <w:pPr>
              <w:ind w:left="120"/>
            </w:pPr>
            <w:r>
              <w:rPr>
                <w:rFonts w:ascii="Calibri" w:hAnsi="Calibri"/>
                <w:b/>
                <w:color w:val="FFFFFF"/>
                <w:sz w:val="21"/>
              </w:rPr>
              <w:t>Document Type</w:t>
            </w:r>
          </w:p>
        </w:tc>
        <w:tc>
          <w:tcPr>
            <w:tcW w:type="dxa" w:w="4680"/>
            <w:shd w:val="clear" w:color="auto" w:fill="E8EEF7"/>
            <w:vAlign w:val="center"/>
          </w:tcPr>
          <w:p>
            <w:pPr>
              <w:ind w:left="120"/>
            </w:pPr>
            <w:r>
              <w:rPr>
                <w:rFonts w:ascii="Calibri" w:hAnsi="Calibri"/>
                <w:color w:val="404040"/>
                <w:sz w:val="21"/>
              </w:rPr>
              <w:t>Tracking Integration &amp; Logistics Platform Enhancement Plan</w:t>
            </w:r>
          </w:p>
        </w:tc>
      </w:tr>
      <w:tr>
        <w:tc>
          <w:tcPr>
            <w:tcW w:type="dxa" w:w="4680"/>
            <w:shd w:val="clear" w:color="auto" w:fill="1A376C"/>
            <w:vAlign w:val="center"/>
          </w:tcPr>
          <w:p>
            <w:pPr>
              <w:ind w:left="120"/>
            </w:pPr>
            <w:r>
              <w:rPr>
                <w:rFonts w:ascii="Calibri" w:hAnsi="Calibri"/>
                <w:b/>
                <w:color w:val="FFFFFF"/>
                <w:sz w:val="21"/>
              </w:rPr>
              <w:t>Version</w:t>
            </w:r>
          </w:p>
        </w:tc>
        <w:tc>
          <w:tcPr>
            <w:tcW w:type="dxa" w:w="4680"/>
            <w:shd w:val="clear" w:color="auto" w:fill="E8EEF7"/>
            <w:vAlign w:val="center"/>
          </w:tcPr>
          <w:p>
            <w:pPr>
              <w:ind w:left="120"/>
            </w:pPr>
            <w:r>
              <w:rPr>
                <w:rFonts w:ascii="Calibri" w:hAnsi="Calibri"/>
                <w:color w:val="404040"/>
                <w:sz w:val="21"/>
              </w:rPr>
              <w:t>1.0</w:t>
            </w:r>
          </w:p>
        </w:tc>
      </w:tr>
      <w:tr>
        <w:tc>
          <w:tcPr>
            <w:tcW w:type="dxa" w:w="4680"/>
            <w:shd w:val="clear" w:color="auto" w:fill="1A376C"/>
            <w:vAlign w:val="center"/>
          </w:tcPr>
          <w:p>
            <w:pPr>
              <w:ind w:left="120"/>
            </w:pPr>
            <w:r>
              <w:rPr>
                <w:rFonts w:ascii="Calibri" w:hAnsi="Calibri"/>
                <w:b/>
                <w:color w:val="FFFFFF"/>
                <w:sz w:val="21"/>
              </w:rPr>
              <w:t>Date</w:t>
            </w:r>
          </w:p>
        </w:tc>
        <w:tc>
          <w:tcPr>
            <w:tcW w:type="dxa" w:w="4680"/>
            <w:shd w:val="clear" w:color="auto" w:fill="E8EEF7"/>
            <w:vAlign w:val="center"/>
          </w:tcPr>
          <w:p>
            <w:pPr>
              <w:ind w:left="120"/>
            </w:pPr>
            <w:r>
              <w:rPr>
                <w:rFonts w:ascii="Calibri" w:hAnsi="Calibri"/>
                <w:color w:val="404040"/>
                <w:sz w:val="21"/>
              </w:rPr>
              <w:t>June 02, 2026</w:t>
            </w:r>
          </w:p>
        </w:tc>
      </w:tr>
    </w:tbl>
    <w:p/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1.  Executive Summary</w:t>
      </w:r>
    </w:p>
    <w:p>
      <w:pPr>
        <w:spacing w:after="120"/>
      </w:pPr>
      <w:r>
        <w:rPr>
          <w:color w:val="404040"/>
          <w:sz w:val="21"/>
        </w:rPr>
        <w:t>Following the completion of the Production MVP, the next development phase focuses on integrating a comprehensive shipment tracking capability into the logistics platform. This enhancement will provide real-time visibility into shipment movement, improve operational oversight, strengthen customer confidence, and establish the foundation for future logistics intelligence features.</w:t>
      </w:r>
    </w:p>
    <w:p>
      <w:pPr>
        <w:spacing w:after="120"/>
      </w:pPr>
      <w:r>
        <w:rPr>
          <w:color w:val="404040"/>
          <w:sz w:val="21"/>
        </w:rPr>
        <w:t>The tracking integration will be implemented in phases to ensure stability, scalability, and measurable business value.</w:t>
      </w:r>
    </w:p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2.  Phase 1: Tracking Infrastructure Integration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Objective</w:t>
      </w:r>
    </w:p>
    <w:p>
      <w:pPr>
        <w:spacing w:after="120"/>
      </w:pPr>
      <w:r>
        <w:rPr>
          <w:color w:val="404040"/>
          <w:sz w:val="21"/>
        </w:rPr>
        <w:t>Establish the technical foundation required to connect vehicles, shipments, and location data.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Scope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Vehicle Management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Register vehicles within the platform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Associate vehicles with carriers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Maintain vehicle profiles and identification information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Shipment-Vehicle Assignment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Link assigned shipments to vehicles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Track active shipment-vehicle relationships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Maintain assignment history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Tracking Data Integration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Receive and process location updates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Store current vehicle position information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Manage vehicle status information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Tracking Administration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Vehicle registration management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Device assignment management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Tracking configuration controls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Deliverables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Vehicle Management Module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Shipment-to-Vehicle Assignment Capability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Tracking Integration Layer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Tracking Administration Interface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Business Benefits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Foundation for all future tracking capabilities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Improved operational visibility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Accurate shipment monitoring</w:t>
      </w:r>
    </w:p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3.  Phase 2: Real-Time Shipment Tracking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Objective</w:t>
      </w:r>
    </w:p>
    <w:p>
      <w:pPr>
        <w:spacing w:after="120"/>
      </w:pPr>
      <w:r>
        <w:rPr>
          <w:color w:val="404040"/>
          <w:sz w:val="21"/>
        </w:rPr>
        <w:t>Provide live shipment visibility to shippers, carriers, and administrators.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Scope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Live Vehicle Location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Current vehicle location display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Vehicle movement monitoring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Last update timestamp visibility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Shipment Tracking Dashboard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Real-time shipment map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Active shipment monitoring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 progress visualization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Shipment Tracking Page</w:t>
      </w:r>
    </w:p>
    <w:p>
      <w:pPr>
        <w:spacing w:after="120"/>
      </w:pPr>
      <w:r>
        <w:rPr>
          <w:color w:val="404040"/>
          <w:sz w:val="21"/>
        </w:rPr>
        <w:t>Display: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 information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Assigned carrier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Assigned vehicle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Current location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Current shipment status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Last reported activity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Tracking History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Historical location records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Movement timeline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Position history retrieval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Deliverables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Live Tracking Dashboard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 Tracking Interface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Historical Tracking Records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Business Benefits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Increased customer confidence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Reduced status inquiry calls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Improved shipment visibility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Enhanced operational control</w:t>
      </w:r>
    </w:p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4.  Phase 3: Route History &amp; Playback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Objective</w:t>
      </w:r>
    </w:p>
    <w:p>
      <w:pPr>
        <w:spacing w:after="120"/>
      </w:pPr>
      <w:r>
        <w:rPr>
          <w:color w:val="404040"/>
          <w:sz w:val="21"/>
        </w:rPr>
        <w:t>Allow users and administrators to review completed and active shipment journeys.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Scope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Route Playback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Historical route visualization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Journey replay functionality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Time-based movement review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Trip Analysis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Route traveled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Distance covered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Stop duration analysis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Travel activity history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Operational Investigation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 verification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Route compliance monitoring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Delivery confirmation support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Deliverables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Route Playback Interface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Journey History Reports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Route Analysis Tools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Business Benefits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 audit capability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Improved dispute resolution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Operational performance insights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Historical shipment verification</w:t>
      </w:r>
    </w:p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5.  Phase 4: Geofence-Based Logistics Automation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Objective</w:t>
      </w:r>
    </w:p>
    <w:p>
      <w:pPr>
        <w:spacing w:after="120"/>
      </w:pPr>
      <w:r>
        <w:rPr>
          <w:color w:val="404040"/>
          <w:sz w:val="21"/>
        </w:rPr>
        <w:t>Automate shipment monitoring using location-based events.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Scope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Pickup Geofences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Pickup area definition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Arrival detection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Departure detection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Destination Geofences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Delivery area definition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Destination arrival detection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Delivery verification support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Event Monitoring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Entry events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Exit events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Arrival notifications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Shipment Event Recording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Geofence event history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Automated operational logs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Location-based audit trail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Deliverables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Geofence Management System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Geofence Event Processing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Automated Shipment Event Recording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Business Benefits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Reduced manual monitoring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Increased operational accuracy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Improved delivery verification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Better shipment accountability</w:t>
      </w:r>
    </w:p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6.  Phase 5: Intelligent Shipment Status Automation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Objective</w:t>
      </w:r>
    </w:p>
    <w:p>
      <w:pPr>
        <w:spacing w:after="120"/>
      </w:pPr>
      <w:r>
        <w:rPr>
          <w:color w:val="404040"/>
          <w:sz w:val="21"/>
        </w:rPr>
        <w:t>Reduce manual shipment updates and improve status accuracy.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Scope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Automated Status Progression</w:t>
      </w:r>
    </w:p>
    <w:p>
      <w:pPr>
        <w:spacing w:after="120"/>
      </w:pPr>
      <w:r>
        <w:rPr>
          <w:color w:val="404040"/>
          <w:sz w:val="21"/>
        </w:rPr>
        <w:t>Examples: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Pickup location reached → Shipment Ready for Pickup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Pickup completed → In Transit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Destination reached → Delivered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Event-Driven Workflow Management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Automatic shipment progression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Reduced user intervention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Location-based workflow triggers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Exception Handling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Missed route alerts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Delayed movement detection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Unexpected stop detection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Deliverables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Automated Status Engine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Event Processing Framework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 Automation Rules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Business Benefits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Reduced operational workload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Improved shipment data accuracy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Faster status updates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Improved customer experience</w:t>
      </w:r>
    </w:p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7.  Phase 6: Notifications &amp; Tracking Alerts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Objective</w:t>
      </w:r>
    </w:p>
    <w:p>
      <w:pPr>
        <w:spacing w:after="120"/>
      </w:pPr>
      <w:r>
        <w:rPr>
          <w:color w:val="404040"/>
          <w:sz w:val="21"/>
        </w:rPr>
        <w:t>Keep all stakeholders informed about shipment progress.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Scope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Shipment Notifications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Carrier assigned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Pickup completed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 in transit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 delivered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Location-Based Alerts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Vehicle arrived at pickup location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Vehicle departed pickup location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Vehicle arrived at destination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Administrative Alerts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Tracking interruption detection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Delayed shipment notifications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Route deviation notifications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Deliverables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Notification Service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Alert Management System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User Notification Center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Business Benefits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Faster communication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Improved shipment awareness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Reduced operational delays</w:t>
      </w:r>
    </w:p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8.  Phase 7: Carrier Performance &amp; Analytics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Objective</w:t>
      </w:r>
    </w:p>
    <w:p>
      <w:pPr>
        <w:spacing w:after="120"/>
      </w:pPr>
      <w:r>
        <w:rPr>
          <w:color w:val="404040"/>
          <w:sz w:val="21"/>
        </w:rPr>
        <w:t>Leverage tracking data to measure operational performance.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Scope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Carrier Performance Metrics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Delivery completion rates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Average delivery times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On-time delivery performance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Vehicle Utilization Metrics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Active operating hours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Distance traveled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Asset utilization reports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Operational Dashboards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Fleet activity overview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Shipment activity overview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Delivery performance reporting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Carrier Rating &amp; Review Integration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Post-delivery ratings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Customer feedback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Reputation scoring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Deliverables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Performance Dashboard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Carrier Analytics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Rating &amp; Review System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Operational Reporting</w:t>
      </w:r>
    </w:p>
    <w:p>
      <w:pPr>
        <w:pStyle w:val="Heading2"/>
        <w:spacing w:before="200" w:after="80"/>
      </w:pPr>
      <w:r>
        <w:rPr>
          <w:b/>
          <w:color w:val="007B83"/>
          <w:sz w:val="22"/>
        </w:rPr>
        <w:t>Business Benefits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Data-driven decision making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Improved carrier accountability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Better service quality monitoring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Enhanced marketplace trust</w:t>
      </w:r>
    </w:p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9.  Recommended Implementation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A376C"/>
            <w:vAlign w:val="center"/>
          </w:tcPr>
          <w:p>
            <w:pPr>
              <w:ind w:left="80"/>
            </w:pPr>
            <w:r>
              <w:rPr>
                <w:rFonts w:ascii="Calibri" w:hAnsi="Calibri"/>
                <w:b/>
                <w:color w:val="FFFFFF"/>
                <w:sz w:val="21"/>
              </w:rPr>
              <w:t>Phase</w:t>
            </w:r>
          </w:p>
        </w:tc>
        <w:tc>
          <w:tcPr>
            <w:tcW w:type="dxa" w:w="3120"/>
            <w:shd w:val="clear" w:color="auto" w:fill="1A376C"/>
            <w:vAlign w:val="center"/>
          </w:tcPr>
          <w:p>
            <w:pPr>
              <w:ind w:left="80"/>
            </w:pPr>
            <w:r>
              <w:rPr>
                <w:rFonts w:ascii="Calibri" w:hAnsi="Calibri"/>
                <w:b/>
                <w:color w:val="FFFFFF"/>
                <w:sz w:val="21"/>
              </w:rPr>
              <w:t>Deliverable</w:t>
            </w:r>
          </w:p>
        </w:tc>
        <w:tc>
          <w:tcPr>
            <w:tcW w:type="dxa" w:w="3120"/>
            <w:shd w:val="clear" w:color="auto" w:fill="1A376C"/>
            <w:vAlign w:val="center"/>
          </w:tcPr>
          <w:p>
            <w:pPr>
              <w:ind w:left="80"/>
            </w:pPr>
            <w:r>
              <w:rPr>
                <w:rFonts w:ascii="Calibri" w:hAnsi="Calibri"/>
                <w:b/>
                <w:color w:val="FFFFFF"/>
                <w:sz w:val="21"/>
              </w:rPr>
              <w:t>Priority</w:t>
            </w:r>
          </w:p>
        </w:tc>
      </w:tr>
      <w:tr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1</w:t>
            </w:r>
          </w:p>
        </w:tc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Tracking Infrastructure Integration</w:t>
            </w:r>
          </w:p>
        </w:tc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Critical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2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Real-Time Shipment Tracking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Critical</w:t>
            </w:r>
          </w:p>
        </w:tc>
      </w:tr>
      <w:tr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3</w:t>
            </w:r>
          </w:p>
        </w:tc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Route Playback</w:t>
            </w:r>
          </w:p>
        </w:tc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High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4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Geofence Automation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High</w:t>
            </w:r>
          </w:p>
        </w:tc>
      </w:tr>
      <w:tr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5</w:t>
            </w:r>
          </w:p>
        </w:tc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Shipment Status Automation</w:t>
            </w:r>
          </w:p>
        </w:tc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High</w:t>
            </w:r>
          </w:p>
        </w:tc>
      </w:tr>
      <w:tr>
        <w:tc>
          <w:tcPr>
            <w:tcW w:type="dxa" w:w="3120"/>
            <w:shd w:val="clear" w:color="auto" w:fill="F2F2F2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6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Notifications &amp; Alerts</w:t>
            </w:r>
          </w:p>
        </w:tc>
        <w:tc>
          <w:tcPr>
            <w:tcW w:type="dxa" w:w="3120"/>
            <w:shd w:val="clear" w:color="auto" w:fill="F2F2F2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Medium</w:t>
            </w:r>
          </w:p>
        </w:tc>
      </w:tr>
      <w:tr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7</w:t>
            </w:r>
          </w:p>
        </w:tc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Analytics, Ratings &amp; Performance</w:t>
            </w:r>
          </w:p>
        </w:tc>
        <w:tc>
          <w:tcPr>
            <w:tcW w:type="dxa" w:w="3120"/>
            <w:shd w:val="clear" w:color="auto" w:fill="E8EEF7"/>
            <w:vAlign w:val="center"/>
          </w:tcPr>
          <w:p>
            <w:pPr>
              <w:ind w:left="80"/>
            </w:pPr>
            <w:r>
              <w:rPr>
                <w:rFonts w:ascii="Calibri" w:hAnsi="Calibri"/>
                <w:color w:val="404040"/>
                <w:sz w:val="21"/>
              </w:rPr>
              <w:t>Medium</w:t>
            </w:r>
          </w:p>
        </w:tc>
      </w:tr>
    </w:tbl>
    <w:p/>
    <w:p>
      <w:pPr>
        <w:pStyle w:val="Heading1"/>
        <w:spacing w:before="280" w:after="120"/>
        <w:shd w:val="clear" w:color="auto" w:fill="1A376C"/>
      </w:pPr>
      <w:r>
        <w:rPr>
          <w:b/>
          <w:color w:val="FFFFFF"/>
          <w:sz w:val="26"/>
        </w:rPr>
        <w:t xml:space="preserve">  10.  Strategic Outcome</w:t>
      </w:r>
    </w:p>
    <w:p>
      <w:pPr>
        <w:spacing w:after="120"/>
      </w:pPr>
      <w:r>
        <w:rPr>
          <w:color w:val="404040"/>
          <w:sz w:val="21"/>
        </w:rPr>
        <w:t>Upon completion of this roadmap, the platform will evolve from a shipment management system into a fully trackable logistics ecosystem capable of providing: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Real-time shipment visibility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Route history and playback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Automated location-based workflows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Delivery verification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Intelligent notifications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Carrier accountability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Operational analytics</w:t>
      </w:r>
    </w:p>
    <w:p>
      <w:pPr>
        <w:pStyle w:val="ListBullet"/>
        <w:spacing w:after="80"/>
      </w:pPr>
      <w:r>
        <w:rPr>
          <w:b/>
          <w:color w:val="1A376C"/>
          <w:sz w:val="21"/>
        </w:rPr>
        <w:t>Enhanced customer confidence</w:t>
      </w:r>
    </w:p>
    <w:p>
      <w:pPr>
        <w:spacing w:after="120"/>
      </w:pPr>
      <w:r>
        <w:rPr>
          <w:color w:val="404040"/>
          <w:sz w:val="21"/>
        </w:rPr>
        <w:t>This approach prioritizes shipment tracking and operational visibility while creating a scalable foundation for future marketplace and logistics intelligence capabilities.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440" w:bottom="113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888888"/>
        <w:sz w:val="18"/>
      </w:rPr>
      <w:t>Confidential  ·  Generated June 02,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007B83"/>
        <w:sz w:val="18"/>
      </w:rPr>
      <w:t>Fleet Management System  |  Tracking Integration &amp; Logistics Platform Enhancement Plan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040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