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76C"/>
          <w:sz w:val="52"/>
        </w:rPr>
        <w:t>Logistics Platform Proposal</w:t>
      </w:r>
    </w:p>
    <w:p>
      <w:pPr>
        <w:spacing w:after="360"/>
        <w:jc w:val="center"/>
      </w:pPr>
      <w:r>
        <w:rPr>
          <w:rFonts w:ascii="Calibri" w:hAnsi="Calibri"/>
          <w:color w:val="007B83"/>
          <w:sz w:val="28"/>
        </w:rPr>
        <w:t>Digital Workflows • Real-Time Visibility • Optimized Routes</w:t>
      </w:r>
    </w:p>
    <w:p>
      <w:pPr>
        <w:pBdr>
          <w:bottom w:val="single" w:sz="6" w:space="1" w:color="007B83"/>
        </w:pBdr>
        <w:spacing w:after="0"/>
      </w:pP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A376C"/>
            <w:vAlign w:val="center"/>
          </w:tcPr>
          <w:p>
            <w:pPr>
              <w:ind w:left="120"/>
            </w:pPr>
            <w:r>
              <w:rPr>
                <w:rFonts w:ascii="Calibri" w:hAnsi="Calibri"/>
                <w:b/>
                <w:color w:val="FFFFFF"/>
                <w:sz w:val="21"/>
              </w:rPr>
              <w:t>Prepared For</w:t>
            </w:r>
          </w:p>
        </w:tc>
        <w:tc>
          <w:tcPr>
            <w:tcW w:type="dxa" w:w="4680"/>
            <w:shd w:val="clear" w:color="auto" w:fill="E8EEF7"/>
            <w:vAlign w:val="center"/>
          </w:tcPr>
          <w:p>
            <w:pPr>
              <w:ind w:left="120"/>
            </w:pPr>
            <w:r>
              <w:rPr>
                <w:rFonts w:ascii="Calibri" w:hAnsi="Calibri"/>
                <w:color w:val="404040"/>
                <w:sz w:val="21"/>
              </w:rPr>
              <w:t>Client Organization</w:t>
            </w:r>
          </w:p>
        </w:tc>
      </w:tr>
      <w:tr>
        <w:tc>
          <w:tcPr>
            <w:tcW w:type="dxa" w:w="4680"/>
            <w:shd w:val="clear" w:color="auto" w:fill="1A376C"/>
            <w:vAlign w:val="center"/>
          </w:tcPr>
          <w:p>
            <w:pPr>
              <w:ind w:left="120"/>
            </w:pPr>
            <w:r>
              <w:rPr>
                <w:rFonts w:ascii="Calibri" w:hAnsi="Calibri"/>
                <w:b/>
                <w:color w:val="FFFFFF"/>
                <w:sz w:val="21"/>
              </w:rPr>
              <w:t>Prepared By</w:t>
            </w:r>
          </w:p>
        </w:tc>
        <w:tc>
          <w:tcPr>
            <w:tcW w:type="dxa" w:w="4680"/>
            <w:shd w:val="clear" w:color="auto" w:fill="E8EEF7"/>
            <w:vAlign w:val="center"/>
          </w:tcPr>
          <w:p>
            <w:pPr>
              <w:ind w:left="120"/>
            </w:pPr>
            <w:r>
              <w:rPr>
                <w:rFonts w:ascii="Calibri" w:hAnsi="Calibri"/>
                <w:color w:val="404040"/>
                <w:sz w:val="21"/>
              </w:rPr>
              <w:t>Fleet Management Solutions Team</w:t>
            </w:r>
          </w:p>
        </w:tc>
      </w:tr>
      <w:tr>
        <w:tc>
          <w:tcPr>
            <w:tcW w:type="dxa" w:w="4680"/>
            <w:shd w:val="clear" w:color="auto" w:fill="1A376C"/>
            <w:vAlign w:val="center"/>
          </w:tcPr>
          <w:p>
            <w:pPr>
              <w:ind w:left="120"/>
            </w:pPr>
            <w:r>
              <w:rPr>
                <w:rFonts w:ascii="Calibri" w:hAnsi="Calibri"/>
                <w:b/>
                <w:color w:val="FFFFFF"/>
                <w:sz w:val="21"/>
              </w:rPr>
              <w:t>Document Type</w:t>
            </w:r>
          </w:p>
        </w:tc>
        <w:tc>
          <w:tcPr>
            <w:tcW w:type="dxa" w:w="4680"/>
            <w:shd w:val="clear" w:color="auto" w:fill="E8EEF7"/>
            <w:vAlign w:val="center"/>
          </w:tcPr>
          <w:p>
            <w:pPr>
              <w:ind w:left="120"/>
            </w:pPr>
            <w:r>
              <w:rPr>
                <w:rFonts w:ascii="Calibri" w:hAnsi="Calibri"/>
                <w:color w:val="404040"/>
                <w:sz w:val="21"/>
              </w:rPr>
              <w:t>Logistics Platform Proposal</w:t>
            </w:r>
          </w:p>
        </w:tc>
      </w:tr>
      <w:tr>
        <w:tc>
          <w:tcPr>
            <w:tcW w:type="dxa" w:w="4680"/>
            <w:shd w:val="clear" w:color="auto" w:fill="1A376C"/>
            <w:vAlign w:val="center"/>
          </w:tcPr>
          <w:p>
            <w:pPr>
              <w:ind w:left="120"/>
            </w:pPr>
            <w:r>
              <w:rPr>
                <w:rFonts w:ascii="Calibri" w:hAnsi="Calibri"/>
                <w:b/>
                <w:color w:val="FFFFFF"/>
                <w:sz w:val="21"/>
              </w:rPr>
              <w:t>Date</w:t>
            </w:r>
          </w:p>
        </w:tc>
        <w:tc>
          <w:tcPr>
            <w:tcW w:type="dxa" w:w="4680"/>
            <w:shd w:val="clear" w:color="auto" w:fill="E8EEF7"/>
            <w:vAlign w:val="center"/>
          </w:tcPr>
          <w:p>
            <w:pPr>
              <w:ind w:left="120"/>
            </w:pPr>
            <w:r>
              <w:rPr>
                <w:rFonts w:ascii="Calibri" w:hAnsi="Calibri"/>
                <w:color w:val="404040"/>
                <w:sz w:val="21"/>
              </w:rPr>
              <w:t>May 31, 2026</w:t>
            </w:r>
          </w:p>
        </w:tc>
      </w:tr>
    </w:tbl>
    <w:p/>
    <w:p>
      <w:pPr>
        <w:pStyle w:val="Heading1"/>
        <w:spacing w:before="280" w:after="120"/>
        <w:shd w:val="clear" w:color="auto" w:fill="1A376C"/>
      </w:pPr>
      <w:r>
        <w:rPr>
          <w:b/>
          <w:color w:val="FFFFFF"/>
          <w:sz w:val="26"/>
        </w:rPr>
        <w:t xml:space="preserve">  1.  Executive Summary</w:t>
      </w:r>
    </w:p>
    <w:p>
      <w:pPr>
        <w:spacing w:after="120"/>
      </w:pPr>
      <w:r>
        <w:rPr>
          <w:color w:val="404040"/>
          <w:sz w:val="21"/>
        </w:rPr>
        <w:t>This proposal presents a modern logistics platform that digitizes traditional workflows from shipment creation through delivery, settlement, and performance review. The solution connects shippers, carriers, and operations teams in one coordinated environment that reduces manual coordination and improves service reliability.</w:t>
      </w:r>
    </w:p>
    <w:p>
      <w:pPr>
        <w:spacing w:after="120"/>
      </w:pPr>
      <w:r>
        <w:rPr>
          <w:color w:val="404040"/>
          <w:sz w:val="21"/>
        </w:rPr>
        <w:t>The platform prioritizes real-time live shipment tracking and intelligent route optimization to deliver accurate ETAs, proactive exception management, and superior customer experience.</w:t>
      </w:r>
    </w:p>
    <w:tbl>
      <w:tblPr>
        <w:tblStyle w:val="TableGrid"/>
        <w:tblW w:type="auto" w:w="0"/>
        <w:tblLook w:firstColumn="1" w:firstRow="1" w:lastColumn="0" w:lastRow="0" w:noHBand="0" w:noVBand="1" w:val="04A0"/>
      </w:tblPr>
      <w:tblGrid>
        <w:gridCol w:w="9360"/>
      </w:tblGrid>
      <w:tr>
        <w:tc>
          <w:tcPr>
            <w:tcW w:type="dxa" w:w="9360"/>
            <w:shd w:val="clear" w:color="auto" w:fill="E8EEF7"/>
          </w:tcPr>
          <w:p>
            <w:r>
              <w:rPr>
                <w:b/>
                <w:color w:val="1A376C"/>
                <w:sz w:val="22"/>
              </w:rPr>
              <w:t>Business Outcomes</w:t>
            </w:r>
          </w:p>
          <w:p>
            <w:pPr>
              <w:pStyle w:val="ListBullet"/>
            </w:pPr>
            <w:r>
              <w:rPr>
                <w:color w:val="404040"/>
                <w:sz w:val="21"/>
              </w:rPr>
              <w:t>Cut dispatch time with smart shipment creation and automated carrier matching.</w:t>
            </w:r>
          </w:p>
          <w:p>
            <w:pPr>
              <w:pStyle w:val="ListBullet"/>
            </w:pPr>
            <w:r>
              <w:rPr>
                <w:color w:val="404040"/>
                <w:sz w:val="21"/>
              </w:rPr>
              <w:t>Improve on-time performance using live tracking and predictive ETAs.</w:t>
            </w:r>
          </w:p>
          <w:p>
            <w:pPr>
              <w:pStyle w:val="ListBullet"/>
            </w:pPr>
            <w:r>
              <w:rPr>
                <w:color w:val="404040"/>
                <w:sz w:val="21"/>
              </w:rPr>
              <w:t>Reduce cost per shipment by minimizing empty miles and route deviations.</w:t>
            </w:r>
          </w:p>
          <w:p>
            <w:pPr>
              <w:pStyle w:val="ListBullet"/>
            </w:pPr>
            <w:r>
              <w:rPr>
                <w:color w:val="404040"/>
                <w:sz w:val="21"/>
              </w:rPr>
              <w:t>Increase shipper confidence with transparent status events and proof of delivery.</w:t>
            </w:r>
          </w:p>
        </w:tc>
      </w:tr>
    </w:tbl>
    <w:p/>
    <w:p>
      <w:pPr>
        <w:pStyle w:val="Heading1"/>
        <w:spacing w:before="280" w:after="120"/>
        <w:shd w:val="clear" w:color="auto" w:fill="1A376C"/>
      </w:pPr>
      <w:r>
        <w:rPr>
          <w:b/>
          <w:color w:val="FFFFFF"/>
          <w:sz w:val="26"/>
        </w:rPr>
        <w:t xml:space="preserve">  2.  Solution Overview</w:t>
      </w:r>
    </w:p>
    <w:p>
      <w:pPr>
        <w:spacing w:after="120"/>
      </w:pPr>
      <w:r>
        <w:rPr>
          <w:color w:val="404040"/>
          <w:sz w:val="21"/>
        </w:rPr>
        <w:t>The platform unifies shipment planning, carrier selection, execution, and settlement in a single digital workflow. It supports multi-tenant operations, configurable approval rules, and API-ready integration for ERP, TMS, and financial systems.</w:t>
      </w:r>
    </w:p>
    <w:p>
      <w:pPr>
        <w:pStyle w:val="Heading1"/>
        <w:spacing w:before="280" w:after="120"/>
        <w:shd w:val="clear" w:color="auto" w:fill="1A376C"/>
      </w:pPr>
      <w:r>
        <w:rPr>
          <w:b/>
          <w:color w:val="FFFFFF"/>
          <w:sz w:val="26"/>
        </w:rPr>
        <w:t xml:space="preserve">  3.  Core Workflow Modules</w:t>
      </w:r>
    </w:p>
    <w:p>
      <w:pPr>
        <w:pStyle w:val="Heading2"/>
        <w:spacing w:before="200" w:after="80"/>
      </w:pPr>
      <w:r>
        <w:rPr>
          <w:b/>
          <w:color w:val="007B83"/>
          <w:sz w:val="22"/>
        </w:rPr>
        <w:t>3.1 Smart Shipment Creation &amp; Carrier Matching</w:t>
      </w:r>
    </w:p>
    <w:p>
      <w:pPr>
        <w:spacing w:after="120"/>
      </w:pPr>
      <w:r>
        <w:rPr>
          <w:color w:val="404040"/>
          <w:sz w:val="21"/>
        </w:rPr>
        <w:t>Create shipments in seconds with structured templates, service-level rules, and automatic carrier matching based on lanes, capacity, price, and performance history.</w:t>
      </w:r>
    </w:p>
    <w:p>
      <w:pPr>
        <w:pStyle w:val="ListBullet"/>
        <w:spacing w:after="80"/>
      </w:pPr>
      <w:r>
        <w:rPr>
          <w:b/>
          <w:color w:val="1A376C"/>
          <w:sz w:val="21"/>
        </w:rPr>
        <w:t>Guided shipment forms:</w:t>
      </w:r>
      <w:r>
        <w:rPr>
          <w:color w:val="404040"/>
          <w:sz w:val="21"/>
        </w:rPr>
        <w:t xml:space="preserve"> Validated fields, commodity rules, and document capture.</w:t>
      </w:r>
    </w:p>
    <w:p>
      <w:pPr>
        <w:pStyle w:val="ListBullet"/>
        <w:spacing w:after="80"/>
      </w:pPr>
      <w:r>
        <w:rPr>
          <w:b/>
          <w:color w:val="1A376C"/>
          <w:sz w:val="21"/>
        </w:rPr>
        <w:t>Posting &amp; tendering:</w:t>
      </w:r>
      <w:r>
        <w:rPr>
          <w:color w:val="404040"/>
          <w:sz w:val="21"/>
        </w:rPr>
        <w:t xml:space="preserve"> Broadcast to qualified carriers with configurable acceptance flows.</w:t>
      </w:r>
    </w:p>
    <w:p>
      <w:pPr>
        <w:pStyle w:val="ListBullet"/>
        <w:spacing w:after="80"/>
      </w:pPr>
      <w:r>
        <w:rPr>
          <w:b/>
          <w:color w:val="1A376C"/>
          <w:sz w:val="21"/>
        </w:rPr>
        <w:t>Carrier marketplace:</w:t>
      </w:r>
      <w:r>
        <w:rPr>
          <w:color w:val="404040"/>
          <w:sz w:val="21"/>
        </w:rPr>
        <w:t xml:space="preserve"> Rate cards, spot bids, and smart recommendations.</w:t>
      </w:r>
    </w:p>
    <w:p>
      <w:pPr>
        <w:pStyle w:val="ListBullet"/>
        <w:spacing w:after="80"/>
      </w:pPr>
      <w:r>
        <w:rPr>
          <w:b/>
          <w:color w:val="1A376C"/>
          <w:sz w:val="21"/>
        </w:rPr>
        <w:t>Approval workflows:</w:t>
      </w:r>
      <w:r>
        <w:rPr>
          <w:color w:val="404040"/>
          <w:sz w:val="21"/>
        </w:rPr>
        <w:t xml:space="preserve"> Enforce budget limits and service SLAs before confirmation.</w:t>
      </w:r>
    </w:p>
    <w:p>
      <w:pPr>
        <w:pStyle w:val="Heading2"/>
        <w:spacing w:before="200" w:after="80"/>
      </w:pPr>
      <w:r>
        <w:rPr>
          <w:b/>
          <w:color w:val="007B83"/>
          <w:sz w:val="22"/>
        </w:rPr>
        <w:t>3.2 Status &amp; Event Tracking</w:t>
      </w:r>
    </w:p>
    <w:p>
      <w:pPr>
        <w:spacing w:after="120"/>
      </w:pPr>
      <w:r>
        <w:rPr>
          <w:color w:val="404040"/>
          <w:sz w:val="21"/>
        </w:rPr>
        <w:t>Every shipment is monitored through milestones, exceptions, and automated status events to keep teams and customers aligned.</w:t>
      </w:r>
    </w:p>
    <w:p>
      <w:pPr>
        <w:pStyle w:val="ListBullet"/>
        <w:spacing w:after="80"/>
      </w:pPr>
      <w:r>
        <w:rPr>
          <w:b/>
          <w:color w:val="1A376C"/>
          <w:sz w:val="21"/>
        </w:rPr>
        <w:t>Milestone updates:</w:t>
      </w:r>
      <w:r>
        <w:rPr>
          <w:color w:val="404040"/>
          <w:sz w:val="21"/>
        </w:rPr>
        <w:t xml:space="preserve"> Pickup, in-transit, at-hub, and delivery confirmations.</w:t>
      </w:r>
    </w:p>
    <w:p>
      <w:pPr>
        <w:pStyle w:val="ListBullet"/>
        <w:spacing w:after="80"/>
      </w:pPr>
      <w:r>
        <w:rPr>
          <w:b/>
          <w:color w:val="1A376C"/>
          <w:sz w:val="21"/>
        </w:rPr>
        <w:t>Exception alerts:</w:t>
      </w:r>
      <w:r>
        <w:rPr>
          <w:color w:val="404040"/>
          <w:sz w:val="21"/>
        </w:rPr>
        <w:t xml:space="preserve"> Delays, route deviations, temperature issues, or dwell-time flags.</w:t>
      </w:r>
    </w:p>
    <w:p>
      <w:pPr>
        <w:pStyle w:val="ListBullet"/>
        <w:spacing w:after="80"/>
      </w:pPr>
      <w:r>
        <w:rPr>
          <w:b/>
          <w:color w:val="1A376C"/>
          <w:sz w:val="21"/>
        </w:rPr>
        <w:t>Customer notifications:</w:t>
      </w:r>
      <w:r>
        <w:rPr>
          <w:color w:val="404040"/>
          <w:sz w:val="21"/>
        </w:rPr>
        <w:t xml:space="preserve"> Email/SMS updates with configurable frequency.</w:t>
      </w:r>
    </w:p>
    <w:p>
      <w:pPr>
        <w:pStyle w:val="ListBullet"/>
        <w:spacing w:after="80"/>
      </w:pPr>
      <w:r>
        <w:rPr>
          <w:b/>
          <w:color w:val="1A376C"/>
          <w:sz w:val="21"/>
        </w:rPr>
        <w:t>Document management:</w:t>
      </w:r>
      <w:r>
        <w:rPr>
          <w:color w:val="404040"/>
          <w:sz w:val="21"/>
        </w:rPr>
        <w:t xml:space="preserve"> Proof of delivery, signatures, and shipping documents stored centrally.</w:t>
      </w:r>
    </w:p>
    <w:p>
      <w:pPr>
        <w:pStyle w:val="Heading2"/>
        <w:spacing w:before="200" w:after="80"/>
      </w:pPr>
      <w:r>
        <w:rPr>
          <w:b/>
          <w:color w:val="007B83"/>
          <w:sz w:val="22"/>
        </w:rPr>
        <w:t>3.3 Settlement &amp; Payment</w:t>
      </w:r>
    </w:p>
    <w:p>
      <w:pPr>
        <w:spacing w:after="120"/>
      </w:pPr>
      <w:r>
        <w:rPr>
          <w:color w:val="404040"/>
          <w:sz w:val="21"/>
        </w:rPr>
        <w:t>Integrated payment workflows simplify invoicing, reconciliation, and carrier settlement while improving cashflow visibility.</w:t>
      </w:r>
    </w:p>
    <w:p>
      <w:pPr>
        <w:pStyle w:val="ListBullet"/>
        <w:spacing w:after="80"/>
      </w:pPr>
      <w:r>
        <w:rPr>
          <w:b/>
          <w:color w:val="1A376C"/>
          <w:sz w:val="21"/>
        </w:rPr>
        <w:t>Automated invoicing:</w:t>
      </w:r>
      <w:r>
        <w:rPr>
          <w:color w:val="404040"/>
          <w:sz w:val="21"/>
        </w:rPr>
        <w:t xml:space="preserve"> Generate invoices from completed shipments and rate cards.</w:t>
      </w:r>
    </w:p>
    <w:p>
      <w:pPr>
        <w:pStyle w:val="ListBullet"/>
        <w:spacing w:after="80"/>
      </w:pPr>
      <w:r>
        <w:rPr>
          <w:b/>
          <w:color w:val="1A376C"/>
          <w:sz w:val="21"/>
        </w:rPr>
        <w:t>Dispute handling:</w:t>
      </w:r>
      <w:r>
        <w:rPr>
          <w:color w:val="404040"/>
          <w:sz w:val="21"/>
        </w:rPr>
        <w:t xml:space="preserve"> Track discrepancies with audit trails and approval history.</w:t>
      </w:r>
    </w:p>
    <w:p>
      <w:pPr>
        <w:pStyle w:val="ListBullet"/>
        <w:spacing w:after="80"/>
      </w:pPr>
      <w:r>
        <w:rPr>
          <w:b/>
          <w:color w:val="1A376C"/>
          <w:sz w:val="21"/>
        </w:rPr>
        <w:t>Carrier payouts:</w:t>
      </w:r>
      <w:r>
        <w:rPr>
          <w:color w:val="404040"/>
          <w:sz w:val="21"/>
        </w:rPr>
        <w:t xml:space="preserve"> Scheduled settlements with payment status visibility.</w:t>
      </w:r>
    </w:p>
    <w:p>
      <w:pPr>
        <w:pStyle w:val="ListBullet"/>
        <w:spacing w:after="80"/>
      </w:pPr>
      <w:r>
        <w:rPr>
          <w:b/>
          <w:color w:val="1A376C"/>
          <w:sz w:val="21"/>
        </w:rPr>
        <w:t>Revenue dashboards:</w:t>
      </w:r>
      <w:r>
        <w:rPr>
          <w:color w:val="404040"/>
          <w:sz w:val="21"/>
        </w:rPr>
        <w:t xml:space="preserve"> Margin, cost per mile, and profitability analytics.</w:t>
      </w:r>
    </w:p>
    <w:p>
      <w:pPr>
        <w:pStyle w:val="Heading1"/>
        <w:spacing w:before="280" w:after="120"/>
        <w:shd w:val="clear" w:color="auto" w:fill="1A376C"/>
      </w:pPr>
      <w:r>
        <w:rPr>
          <w:b/>
          <w:color w:val="FFFFFF"/>
          <w:sz w:val="26"/>
        </w:rPr>
        <w:t xml:space="preserve">  4.  Real-Time Live Shipment Tracking</w:t>
      </w:r>
    </w:p>
    <w:p>
      <w:pPr>
        <w:spacing w:after="120"/>
      </w:pPr>
      <w:r>
        <w:rPr>
          <w:color w:val="404040"/>
          <w:sz w:val="21"/>
        </w:rPr>
        <w:t>Live tracking is the centerpiece of the platform. It provides continuous, map-based visibility for every shipment, enabling teams to intervene early, reassure customers, and protect service-level commitments.</w:t>
      </w:r>
    </w:p>
    <w:p>
      <w:pPr>
        <w:pStyle w:val="ListBullet"/>
        <w:spacing w:after="80"/>
      </w:pPr>
      <w:r>
        <w:rPr>
          <w:b/>
          <w:color w:val="1A376C"/>
          <w:sz w:val="21"/>
        </w:rPr>
        <w:t>Instant visibility:</w:t>
      </w:r>
      <w:r>
        <w:rPr>
          <w:color w:val="404040"/>
          <w:sz w:val="21"/>
        </w:rPr>
        <w:t xml:space="preserve"> Second-by-second location updates from carrier devices and mobile apps.</w:t>
      </w:r>
    </w:p>
    <w:p>
      <w:pPr>
        <w:pStyle w:val="ListBullet"/>
        <w:spacing w:after="80"/>
      </w:pPr>
      <w:r>
        <w:rPr>
          <w:b/>
          <w:color w:val="1A376C"/>
          <w:sz w:val="21"/>
        </w:rPr>
        <w:t>Proactive exception response:</w:t>
      </w:r>
      <w:r>
        <w:rPr>
          <w:color w:val="404040"/>
          <w:sz w:val="21"/>
        </w:rPr>
        <w:t xml:space="preserve"> Trigger alerts the moment a shipment is off-route or delayed.</w:t>
      </w:r>
    </w:p>
    <w:p>
      <w:pPr>
        <w:pStyle w:val="ListBullet"/>
        <w:spacing w:after="80"/>
      </w:pPr>
      <w:r>
        <w:rPr>
          <w:b/>
          <w:color w:val="1A376C"/>
          <w:sz w:val="21"/>
        </w:rPr>
        <w:t>Trusted ETAs:</w:t>
      </w:r>
      <w:r>
        <w:rPr>
          <w:color w:val="404040"/>
          <w:sz w:val="21"/>
        </w:rPr>
        <w:t xml:space="preserve"> Live feeds refine arrival estimates to reduce missed deliveries.</w:t>
      </w:r>
    </w:p>
    <w:p>
      <w:pPr>
        <w:pStyle w:val="ListBullet"/>
        <w:spacing w:after="80"/>
      </w:pPr>
      <w:r>
        <w:rPr>
          <w:b/>
          <w:color w:val="1A376C"/>
          <w:sz w:val="21"/>
        </w:rPr>
        <w:t>Customer confidence:</w:t>
      </w:r>
      <w:r>
        <w:rPr>
          <w:color w:val="404040"/>
          <w:sz w:val="21"/>
        </w:rPr>
        <w:t xml:space="preserve"> Shareable tracking links reduce inbound status calls.</w:t>
      </w:r>
    </w:p>
    <w:p>
      <w:pPr>
        <w:pStyle w:val="Heading1"/>
        <w:spacing w:before="280" w:after="120"/>
        <w:shd w:val="clear" w:color="auto" w:fill="1A376C"/>
      </w:pPr>
      <w:r>
        <w:rPr>
          <w:b/>
          <w:color w:val="FFFFFF"/>
          <w:sz w:val="26"/>
        </w:rPr>
        <w:t xml:space="preserve">  5.  Route Optimization &amp; ETA Intelligence</w:t>
      </w:r>
    </w:p>
    <w:p>
      <w:pPr>
        <w:spacing w:after="120"/>
      </w:pPr>
      <w:r>
        <w:rPr>
          <w:color w:val="404040"/>
          <w:sz w:val="21"/>
        </w:rPr>
        <w:t>Route optimization turns operational data into direct cost savings. The platform analyzes distance, traffic, stop sequences, and delivery constraints to recommend the best route and continuously update ETAs as conditions change.</w:t>
      </w:r>
    </w:p>
    <w:p>
      <w:pPr>
        <w:pStyle w:val="ListBullet"/>
        <w:spacing w:after="80"/>
      </w:pPr>
      <w:r>
        <w:rPr>
          <w:b/>
          <w:color w:val="1A376C"/>
          <w:sz w:val="21"/>
        </w:rPr>
        <w:t>Lower operating costs:</w:t>
      </w:r>
      <w:r>
        <w:rPr>
          <w:color w:val="404040"/>
          <w:sz w:val="21"/>
        </w:rPr>
        <w:t xml:space="preserve"> Reduce fuel spend and empty miles with optimized routing.</w:t>
      </w:r>
    </w:p>
    <w:p>
      <w:pPr>
        <w:pStyle w:val="ListBullet"/>
        <w:spacing w:after="80"/>
      </w:pPr>
      <w:r>
        <w:rPr>
          <w:b/>
          <w:color w:val="1A376C"/>
          <w:sz w:val="21"/>
        </w:rPr>
        <w:t>On-time delivery gains:</w:t>
      </w:r>
      <w:r>
        <w:rPr>
          <w:color w:val="404040"/>
          <w:sz w:val="21"/>
        </w:rPr>
        <w:t xml:space="preserve"> Prioritized stop sequencing and dynamic re-routing.</w:t>
      </w:r>
    </w:p>
    <w:p>
      <w:pPr>
        <w:pStyle w:val="ListBullet"/>
        <w:spacing w:after="80"/>
      </w:pPr>
      <w:r>
        <w:rPr>
          <w:b/>
          <w:color w:val="1A376C"/>
          <w:sz w:val="21"/>
        </w:rPr>
        <w:t>Accurate planning:</w:t>
      </w:r>
      <w:r>
        <w:rPr>
          <w:color w:val="404040"/>
          <w:sz w:val="21"/>
        </w:rPr>
        <w:t xml:space="preserve"> ETA predictions update with live conditions and driver status.</w:t>
      </w:r>
    </w:p>
    <w:p>
      <w:pPr>
        <w:pStyle w:val="ListBullet"/>
        <w:spacing w:after="80"/>
      </w:pPr>
      <w:r>
        <w:rPr>
          <w:b/>
          <w:color w:val="1A376C"/>
          <w:sz w:val="21"/>
        </w:rPr>
        <w:t>Better asset utilization:</w:t>
      </w:r>
      <w:r>
        <w:rPr>
          <w:color w:val="404040"/>
          <w:sz w:val="21"/>
        </w:rPr>
        <w:t xml:space="preserve"> Balance workloads and maximize fleet productivity.</w:t>
      </w:r>
    </w:p>
    <w:p>
      <w:pPr>
        <w:pStyle w:val="Heading1"/>
        <w:spacing w:before="280" w:after="120"/>
        <w:shd w:val="clear" w:color="auto" w:fill="1A376C"/>
      </w:pPr>
      <w:r>
        <w:rPr>
          <w:b/>
          <w:color w:val="FFFFFF"/>
          <w:sz w:val="26"/>
        </w:rPr>
        <w:t xml:space="preserve">  6.  Trust, Reviews &amp; Quality Control</w:t>
      </w:r>
    </w:p>
    <w:p>
      <w:pPr>
        <w:spacing w:after="120"/>
      </w:pPr>
      <w:r>
        <w:rPr>
          <w:color w:val="404040"/>
          <w:sz w:val="21"/>
        </w:rPr>
        <w:t>A review and rating system builds accountability and improves carrier performance over time.</w:t>
      </w:r>
    </w:p>
    <w:p>
      <w:pPr>
        <w:pStyle w:val="ListBullet"/>
        <w:spacing w:after="80"/>
      </w:pPr>
      <w:r>
        <w:rPr>
          <w:b/>
          <w:color w:val="1A376C"/>
          <w:sz w:val="21"/>
        </w:rPr>
        <w:t>Post-delivery ratings:</w:t>
      </w:r>
      <w:r>
        <w:rPr>
          <w:color w:val="404040"/>
          <w:sz w:val="21"/>
        </w:rPr>
        <w:t xml:space="preserve"> Shippers rate carriers and drivers on service quality.</w:t>
      </w:r>
    </w:p>
    <w:p>
      <w:pPr>
        <w:pStyle w:val="ListBullet"/>
        <w:spacing w:after="80"/>
      </w:pPr>
      <w:r>
        <w:rPr>
          <w:b/>
          <w:color w:val="1A376C"/>
          <w:sz w:val="21"/>
        </w:rPr>
        <w:t>Performance scorecards:</w:t>
      </w:r>
      <w:r>
        <w:rPr>
          <w:color w:val="404040"/>
          <w:sz w:val="21"/>
        </w:rPr>
        <w:t xml:space="preserve"> On-time %, damage rate, and compliance metrics.</w:t>
      </w:r>
    </w:p>
    <w:p>
      <w:pPr>
        <w:pStyle w:val="ListBullet"/>
        <w:spacing w:after="80"/>
      </w:pPr>
      <w:r>
        <w:rPr>
          <w:b/>
          <w:color w:val="1A376C"/>
          <w:sz w:val="21"/>
        </w:rPr>
        <w:t>Carrier qualification:</w:t>
      </w:r>
      <w:r>
        <w:rPr>
          <w:color w:val="404040"/>
          <w:sz w:val="21"/>
        </w:rPr>
        <w:t xml:space="preserve"> Automated eligibility rules based on historical performance.</w:t>
      </w:r>
    </w:p>
    <w:p>
      <w:pPr>
        <w:pStyle w:val="ListBullet"/>
        <w:spacing w:after="80"/>
      </w:pPr>
      <w:r>
        <w:rPr>
          <w:b/>
          <w:color w:val="1A376C"/>
          <w:sz w:val="21"/>
        </w:rPr>
        <w:t>Issue resolution:</w:t>
      </w:r>
      <w:r>
        <w:rPr>
          <w:color w:val="404040"/>
          <w:sz w:val="21"/>
        </w:rPr>
        <w:t xml:space="preserve"> Structured feedback loops for continuous improvement.</w:t>
      </w:r>
    </w:p>
    <w:p>
      <w:pPr>
        <w:pStyle w:val="Heading1"/>
        <w:spacing w:before="280" w:after="120"/>
        <w:shd w:val="clear" w:color="auto" w:fill="1A376C"/>
      </w:pPr>
      <w:r>
        <w:rPr>
          <w:b/>
          <w:color w:val="FFFFFF"/>
          <w:sz w:val="26"/>
        </w:rPr>
        <w:t xml:space="preserve">  7.  Additional Capabilities</w:t>
      </w:r>
    </w:p>
    <w:p>
      <w:pPr>
        <w:spacing w:after="120"/>
      </w:pPr>
      <w:r>
        <w:rPr>
          <w:color w:val="404040"/>
          <w:sz w:val="21"/>
        </w:rPr>
        <w:t>Supporting features ensure the platform is easy to adopt and scales with operational needs.</w:t>
      </w:r>
    </w:p>
    <w:p>
      <w:pPr>
        <w:pStyle w:val="ListBullet"/>
        <w:spacing w:after="80"/>
      </w:pPr>
      <w:r>
        <w:rPr>
          <w:b/>
          <w:color w:val="1A376C"/>
          <w:sz w:val="21"/>
        </w:rPr>
        <w:t>Role-based access:</w:t>
      </w:r>
      <w:r>
        <w:rPr>
          <w:color w:val="404040"/>
          <w:sz w:val="21"/>
        </w:rPr>
        <w:t xml:space="preserve"> Granular permissions for shippers, carriers, and admins.</w:t>
      </w:r>
    </w:p>
    <w:p>
      <w:pPr>
        <w:pStyle w:val="ListBullet"/>
        <w:spacing w:after="80"/>
      </w:pPr>
      <w:r>
        <w:rPr>
          <w:b/>
          <w:color w:val="1A376C"/>
          <w:sz w:val="21"/>
        </w:rPr>
        <w:t>Analytics dashboards:</w:t>
      </w:r>
      <w:r>
        <w:rPr>
          <w:color w:val="404040"/>
          <w:sz w:val="21"/>
        </w:rPr>
        <w:t xml:space="preserve"> Shipment volume, cost trends, and service KPIs.</w:t>
      </w:r>
    </w:p>
    <w:p>
      <w:pPr>
        <w:pStyle w:val="ListBullet"/>
        <w:spacing w:after="80"/>
      </w:pPr>
      <w:r>
        <w:rPr>
          <w:b/>
          <w:color w:val="1A376C"/>
          <w:sz w:val="21"/>
        </w:rPr>
        <w:t>Integration APIs:</w:t>
      </w:r>
      <w:r>
        <w:rPr>
          <w:color w:val="404040"/>
          <w:sz w:val="21"/>
        </w:rPr>
        <w:t xml:space="preserve"> Connect ERP, WMS, and accounting systems securely.</w:t>
      </w:r>
    </w:p>
    <w:p>
      <w:pPr>
        <w:pStyle w:val="ListBullet"/>
        <w:spacing w:after="80"/>
      </w:pPr>
      <w:r>
        <w:rPr>
          <w:b/>
          <w:color w:val="1A376C"/>
          <w:sz w:val="21"/>
        </w:rPr>
        <w:t>Multi-branch operations:</w:t>
      </w:r>
      <w:r>
        <w:rPr>
          <w:color w:val="404040"/>
          <w:sz w:val="21"/>
        </w:rPr>
        <w:t xml:space="preserve"> Support regional offices and partner networks.</w:t>
      </w:r>
    </w:p>
    <w:p>
      <w:pPr>
        <w:pStyle w:val="Heading1"/>
        <w:spacing w:before="280" w:after="120"/>
        <w:shd w:val="clear" w:color="auto" w:fill="1A376C"/>
      </w:pPr>
      <w:r>
        <w:rPr>
          <w:b/>
          <w:color w:val="FFFFFF"/>
          <w:sz w:val="26"/>
        </w:rPr>
        <w:t xml:space="preserve">  8.  Security &amp; Reliability</w:t>
      </w:r>
    </w:p>
    <w:p>
      <w:pPr>
        <w:spacing w:after="120"/>
      </w:pPr>
      <w:r>
        <w:rPr>
          <w:color w:val="404040"/>
          <w:sz w:val="21"/>
        </w:rPr>
        <w:t>Security, uptime, and data integrity are built into every layer of the platform.</w:t>
      </w:r>
    </w:p>
    <w:p>
      <w:pPr>
        <w:pStyle w:val="ListBullet"/>
        <w:spacing w:after="80"/>
      </w:pPr>
      <w:r>
        <w:rPr>
          <w:b/>
          <w:color w:val="1A376C"/>
          <w:sz w:val="21"/>
        </w:rPr>
        <w:t>Encrypted communications:</w:t>
      </w:r>
      <w:r>
        <w:rPr>
          <w:color w:val="404040"/>
          <w:sz w:val="21"/>
        </w:rPr>
        <w:t xml:space="preserve"> TLS-secured APIs and device connections.</w:t>
      </w:r>
    </w:p>
    <w:p>
      <w:pPr>
        <w:pStyle w:val="ListBullet"/>
        <w:spacing w:after="80"/>
      </w:pPr>
      <w:r>
        <w:rPr>
          <w:b/>
          <w:color w:val="1A376C"/>
          <w:sz w:val="21"/>
        </w:rPr>
        <w:t>Audit logging:</w:t>
      </w:r>
      <w:r>
        <w:rPr>
          <w:color w:val="404040"/>
          <w:sz w:val="21"/>
        </w:rPr>
        <w:t xml:space="preserve"> Track every user action and shipment update.</w:t>
      </w:r>
    </w:p>
    <w:p>
      <w:pPr>
        <w:pStyle w:val="ListBullet"/>
        <w:spacing w:after="80"/>
      </w:pPr>
      <w:r>
        <w:rPr>
          <w:b/>
          <w:color w:val="1A376C"/>
          <w:sz w:val="21"/>
        </w:rPr>
        <w:t>High availability:</w:t>
      </w:r>
      <w:r>
        <w:rPr>
          <w:color w:val="404040"/>
          <w:sz w:val="21"/>
        </w:rPr>
        <w:t xml:space="preserve"> Redundant services and automated backups.</w:t>
      </w:r>
    </w:p>
    <w:p>
      <w:pPr>
        <w:pStyle w:val="ListBullet"/>
        <w:spacing w:after="80"/>
      </w:pPr>
      <w:r>
        <w:rPr>
          <w:b/>
          <w:color w:val="1A376C"/>
          <w:sz w:val="21"/>
        </w:rPr>
        <w:t>Data residency options:</w:t>
      </w:r>
      <w:r>
        <w:rPr>
          <w:color w:val="404040"/>
          <w:sz w:val="21"/>
        </w:rPr>
        <w:t xml:space="preserve"> Deploy on-premise or in approved cloud regions.</w:t>
      </w:r>
    </w:p>
    <w:p>
      <w:pPr>
        <w:pStyle w:val="Heading1"/>
        <w:spacing w:before="280" w:after="120"/>
        <w:shd w:val="clear" w:color="auto" w:fill="1A376C"/>
      </w:pPr>
      <w:r>
        <w:rPr>
          <w:b/>
          <w:color w:val="FFFFFF"/>
          <w:sz w:val="26"/>
        </w:rPr>
        <w:t xml:space="preserve">  9.  Implementation &amp; Support</w:t>
      </w:r>
    </w:p>
    <w:p>
      <w:pPr>
        <w:spacing w:after="120"/>
      </w:pPr>
      <w:r>
        <w:rPr>
          <w:color w:val="404040"/>
          <w:sz w:val="21"/>
        </w:rPr>
        <w:t>We deliver a structured rollout plan focused on adoption, performance, and measurable ROI.</w:t>
      </w:r>
    </w:p>
    <w:p>
      <w:pPr>
        <w:pStyle w:val="ListBullet"/>
        <w:spacing w:after="80"/>
      </w:pPr>
      <w:r>
        <w:rPr>
          <w:b/>
          <w:color w:val="1A376C"/>
          <w:sz w:val="21"/>
        </w:rPr>
        <w:t>Discovery workshops:</w:t>
      </w:r>
      <w:r>
        <w:rPr>
          <w:color w:val="404040"/>
          <w:sz w:val="21"/>
        </w:rPr>
        <w:t xml:space="preserve"> Confirm workflows, lanes, and carrier network requirements.</w:t>
      </w:r>
    </w:p>
    <w:p>
      <w:pPr>
        <w:pStyle w:val="ListBullet"/>
        <w:spacing w:after="80"/>
      </w:pPr>
      <w:r>
        <w:rPr>
          <w:b/>
          <w:color w:val="1A376C"/>
          <w:sz w:val="21"/>
        </w:rPr>
        <w:t>Configuration &amp; onboarding:</w:t>
      </w:r>
      <w:r>
        <w:rPr>
          <w:color w:val="404040"/>
          <w:sz w:val="21"/>
        </w:rPr>
        <w:t xml:space="preserve"> Set up workflows, roles, and integrations.</w:t>
      </w:r>
    </w:p>
    <w:p>
      <w:pPr>
        <w:pStyle w:val="ListBullet"/>
        <w:spacing w:after="80"/>
      </w:pPr>
      <w:r>
        <w:rPr>
          <w:b/>
          <w:color w:val="1A376C"/>
          <w:sz w:val="21"/>
        </w:rPr>
        <w:t>Pilot launch:</w:t>
      </w:r>
      <w:r>
        <w:rPr>
          <w:color w:val="404040"/>
          <w:sz w:val="21"/>
        </w:rPr>
        <w:t xml:space="preserve"> Validate real-time tracking and route optimization impact.</w:t>
      </w:r>
    </w:p>
    <w:p>
      <w:pPr>
        <w:pStyle w:val="ListBullet"/>
        <w:spacing w:after="80"/>
      </w:pPr>
      <w:r>
        <w:rPr>
          <w:b/>
          <w:color w:val="1A376C"/>
          <w:sz w:val="21"/>
        </w:rPr>
        <w:t>Ongoing success:</w:t>
      </w:r>
      <w:r>
        <w:rPr>
          <w:color w:val="404040"/>
          <w:sz w:val="21"/>
        </w:rPr>
        <w:t xml:space="preserve"> Continuous optimization and feature enhancements.</w:t>
      </w:r>
    </w:p>
    <w:p>
      <w:pPr>
        <w:pStyle w:val="Heading1"/>
        <w:spacing w:before="280" w:after="120"/>
        <w:shd w:val="clear" w:color="auto" w:fill="1A376C"/>
      </w:pPr>
      <w:r>
        <w:rPr>
          <w:b/>
          <w:color w:val="FFFFFF"/>
          <w:sz w:val="26"/>
        </w:rPr>
        <w:t xml:space="preserve">  10.  Why This Platform</w:t>
      </w:r>
    </w:p>
    <w:p>
      <w:pPr>
        <w:spacing w:after="120"/>
      </w:pPr>
      <w:r>
        <w:rPr>
          <w:color w:val="404040"/>
          <w:sz w:val="21"/>
        </w:rPr>
        <w:t>This logistics platform delivers a measurable uplift in visibility, cost control, and service quality. By combining real-time tracking with route intelligence, teams gain the confidence to promise tighter delivery windows and consistently meet them.</w:t>
      </w:r>
    </w:p>
    <w:p>
      <w:pPr>
        <w:spacing w:after="120"/>
      </w:pPr>
      <w:r>
        <w:rPr>
          <w:color w:val="404040"/>
          <w:sz w:val="21"/>
        </w:rPr>
        <w:t>We welcome the opportunity to tailor the platform to your operational model and launch a pilot that proves value quickly before scaling to full production.</w:t>
      </w:r>
    </w:p>
    <w:p/>
    <w:p>
      <w:pPr>
        <w:pBdr>
          <w:bottom w:val="single" w:sz="6" w:space="1" w:color="007B83"/>
        </w:pBdr>
        <w:spacing w:after="0"/>
      </w:pPr>
    </w:p>
    <w:p>
      <w:pPr>
        <w:jc w:val="center"/>
      </w:pPr>
      <w:r>
        <w:rPr>
          <w:i/>
          <w:color w:val="888888"/>
          <w:sz w:val="18"/>
        </w:rPr>
        <w:t>End of Proposal</w:t>
      </w:r>
    </w:p>
    <w:sectPr w:rsidR="00FC693F" w:rsidRPr="0006063C" w:rsidSect="00034616">
      <w:headerReference w:type="default" r:id="rId9"/>
      <w:footerReference w:type="default" r:id="rId10"/>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88888"/>
        <w:sz w:val="18"/>
      </w:rPr>
      <w:t>Confidential  ·  Generated May 31,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007B83"/>
        <w:sz w:val="18"/>
      </w:rPr>
      <w:t>Logistics Platform  |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