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03366"/>
          <w:sz w:val="48"/>
        </w:rPr>
        <w:t>EMR-DHIS2 Interoperability Mediator</w:t>
      </w:r>
    </w:p>
    <w:p>
      <w:pPr>
        <w:spacing w:after="360"/>
      </w:pPr>
      <w:r>
        <w:rPr>
          <w:rFonts w:ascii="Arial" w:hAnsi="Arial"/>
          <w:i/>
          <w:color w:val="555555"/>
          <w:sz w:val="28"/>
        </w:rPr>
        <w:t>Comprehensive Technical Specification, Deployment Architecture &amp; Operational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Project Domain:</w:t>
            </w:r>
          </w:p>
        </w:tc>
        <w:tc>
          <w:tcPr>
            <w:tcW w:type="dxa" w:w="468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Ethiopian Ministry of Health (MOH) IMNID Ecosystem</w:t>
            </w:r>
          </w:p>
        </w:tc>
      </w:tr>
      <w:tr>
        <w:tc>
          <w:tcPr>
            <w:tcW w:type="dxa" w:w="468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Service Name:</w:t>
            </w:r>
          </w:p>
        </w:tc>
        <w:tc>
          <w:tcPr>
            <w:tcW w:type="dxa" w:w="468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EMR-DHIS2 Interoperability Mediator (v1.0.0)</w:t>
            </w:r>
          </w:p>
        </w:tc>
      </w:tr>
      <w:tr>
        <w:tc>
          <w:tcPr>
            <w:tcW w:type="dxa" w:w="468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Supported Systems:</w:t>
            </w:r>
          </w:p>
        </w:tc>
        <w:tc>
          <w:tcPr>
            <w:tcW w:type="dxa" w:w="468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OpenMRS 2.x (Bahmni) &amp; OpenMRS 3.x (O3) ➔ DHIS2 Tracker</w:t>
            </w:r>
          </w:p>
        </w:tc>
      </w:tr>
      <w:tr>
        <w:tc>
          <w:tcPr>
            <w:tcW w:type="dxa" w:w="4680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Document Purpose:</w:t>
            </w:r>
          </w:p>
        </w:tc>
        <w:tc>
          <w:tcPr>
            <w:tcW w:type="dxa" w:w="4680"/>
            <w:shd w:fill="F9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System Architecture, Gateway Integration, Network Topology &amp; API Guide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003366"/>
          <w:sz w:val="32"/>
        </w:rPr>
        <w:t>1. Executive Summary &amp; Overview</w:t>
      </w:r>
    </w:p>
    <w:p>
      <w:r>
        <w:rPr>
          <w:color w:val="222222"/>
        </w:rPr>
        <w:t xml:space="preserve">The </w:t>
      </w:r>
      <w:r>
        <w:rPr>
          <w:b/>
        </w:rPr>
        <w:t>EMR-DHIS2 Interoperability Mediator</w:t>
      </w:r>
      <w:r>
        <w:t xml:space="preserve"> is a lightweight, high-performance REST microservice built using FastAPI. It transitions the EMR-to-DHIS2 pipeline from a manual desktop utility into an automated, server-ready service designed for continuous operation within the Ethiopian Ministry of Health (MOH) digital health framework.</w:t>
        <w:br/>
        <w:br/>
      </w:r>
      <w:r>
        <w:t>The mediator automates the complete end-to-end data pipeline in a single execution (~1.2 seconds):</w:t>
      </w:r>
    </w:p>
    <w:p>
      <w:pPr>
        <w:pStyle w:val="ListBullet"/>
        <w:spacing w:after="60"/>
      </w:pPr>
      <w:r>
        <w:rPr>
          <w:b/>
          <w:color w:val="003366"/>
        </w:rPr>
        <w:t xml:space="preserve">EMR Patient Extraction: </w:t>
      </w:r>
      <w:r>
        <w:t>Connects via REST API to OpenMRS (Bahmni 2.x or OpenMRS 3.x) to query active patient visits.</w:t>
      </w:r>
    </w:p>
    <w:p>
      <w:pPr>
        <w:pStyle w:val="ListBullet"/>
        <w:spacing w:after="60"/>
      </w:pPr>
      <w:r>
        <w:rPr>
          <w:b/>
          <w:color w:val="003366"/>
        </w:rPr>
        <w:t xml:space="preserve">Demographic Eligibility Filtering: </w:t>
      </w:r>
      <w:r>
        <w:t>Enforces strict national MOH demographic rules (Maternal: Female &amp; Age ≥ 10; Neonatal: Age ≤ 0).</w:t>
      </w:r>
    </w:p>
    <w:p>
      <w:pPr>
        <w:pStyle w:val="ListBullet"/>
        <w:spacing w:after="60"/>
      </w:pPr>
      <w:r>
        <w:rPr>
          <w:b/>
          <w:color w:val="003366"/>
        </w:rPr>
        <w:t xml:space="preserve">Form Schema &amp; Concept Mapping: </w:t>
      </w:r>
      <w:r>
        <w:t>Maps OpenMRS form schemas and observations directly to DHIS2 Data Elements and Attributes.</w:t>
      </w:r>
    </w:p>
    <w:p>
      <w:pPr>
        <w:pStyle w:val="ListBullet"/>
        <w:spacing w:after="60"/>
      </w:pPr>
      <w:r>
        <w:rPr>
          <w:b/>
          <w:color w:val="003366"/>
        </w:rPr>
        <w:t xml:space="preserve">DHIS2 Tracker API Import: </w:t>
      </w:r>
      <w:r>
        <w:t>Resolves facility Organisation Unit codes and posts Tracked Entity Instances, Enrollments, and Stage Events.</w:t>
      </w:r>
    </w:p>
    <w:p>
      <w:pPr>
        <w:keepNext/>
        <w:spacing w:before="360" w:after="120"/>
      </w:pPr>
      <w:r>
        <w:rPr>
          <w:rFonts w:ascii="Arial" w:hAnsi="Arial"/>
          <w:b/>
          <w:color w:val="003366"/>
          <w:sz w:val="32"/>
        </w:rPr>
        <w:t>2. OpenHIE Alignment &amp; OpenHIM Gateway Integration</w:t>
      </w:r>
    </w:p>
    <w:p>
      <w:r>
        <w:t xml:space="preserve">In the OpenHIE (Open Health Information Exchange) framework, interoperability architecture is divided into two distinct components: </w:t>
      </w:r>
      <w:r>
        <w:rPr>
          <w:b/>
        </w:rPr>
        <w:t>Interoperability Layer Gateways</w:t>
      </w:r>
      <w:r>
        <w:t xml:space="preserve"> and </w:t>
      </w:r>
      <w:r>
        <w:rPr>
          <w:b/>
        </w:rPr>
        <w:t>Domain Mediator Microservices</w:t>
      </w:r>
      <w:r>
        <w:t>.</w:t>
      </w:r>
    </w:p>
    <w:p>
      <w:pPr>
        <w:keepNext/>
        <w:spacing w:before="280" w:after="80"/>
      </w:pPr>
      <w:r>
        <w:rPr>
          <w:rFonts w:ascii="Arial" w:hAnsi="Arial"/>
          <w:b/>
          <w:color w:val="006699"/>
          <w:sz w:val="26"/>
        </w:rPr>
        <w:t>Component Comparison: OpenHIM Gateway vs. Our Mediator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Feature / Capability</w:t>
            </w:r>
          </w:p>
        </w:tc>
        <w:tc>
          <w:tcPr>
            <w:tcW w:type="dxa" w:w="312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OpenHIM Gateway</w:t>
            </w:r>
          </w:p>
        </w:tc>
        <w:tc>
          <w:tcPr>
            <w:tcW w:type="dxa" w:w="312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Our Mediator (mediator.py)</w:t>
            </w:r>
          </w:p>
        </w:tc>
      </w:tr>
      <w:tr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Primary Role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Central Security, Authentication &amp; Audit Logging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Clinical Data Extraction, Filtering &amp; DHIS2 Import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Domain Logic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Protocol Routing &amp; Pass-through Gateway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Deep EMR Concept Mapping &amp; Demographic Rules</w:t>
            </w:r>
          </w:p>
        </w:tc>
      </w:tr>
      <w:tr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Execution Engine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Node.js Reverse Proxy Gateway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FastAPI / Uvicorn Python Microservice Engine</w:t>
            </w:r>
          </w:p>
        </w:tc>
      </w:tr>
    </w:tbl>
    <w:p>
      <w:pPr>
        <w:spacing w:after="120"/>
      </w:pPr>
    </w:p>
    <w:p>
      <w:r>
        <w:rPr>
          <w:b/>
        </w:rPr>
        <w:t>Production Architecture Flow:</w:t>
        <w:br/>
      </w:r>
      <w:r>
        <w:t>OpenMRS EMR ➔ OpenHIM Gateway (Security &amp; Audit) ➔ Mediator Engine (mediator.py) ➔ DHIS2 Tracker API.</w:t>
      </w:r>
    </w:p>
    <w:p>
      <w:pPr>
        <w:keepNext/>
        <w:spacing w:before="360" w:after="120"/>
      </w:pPr>
      <w:r>
        <w:rPr>
          <w:rFonts w:ascii="Arial" w:hAnsi="Arial"/>
          <w:b/>
          <w:color w:val="003366"/>
          <w:sz w:val="32"/>
        </w:rPr>
        <w:t>3. Pipeline Capabilities &amp; Data Coverage</w:t>
      </w:r>
    </w:p>
    <w:p>
      <w:r>
        <w:rPr>
          <w:b/>
        </w:rPr>
        <w:t xml:space="preserve">The mediator handles </w:t>
      </w:r>
      <w:r>
        <w:rPr>
          <w:b/>
        </w:rPr>
        <w:t>FULL CLINICAL DATA</w:t>
      </w:r>
      <w:r>
        <w:t xml:space="preserve"> across all maternal and neonatal inpatient programs. It is not limited to patient demographics.</w:t>
      </w:r>
    </w:p>
    <w:p>
      <w:pPr>
        <w:keepNext/>
        <w:spacing w:before="280" w:after="80"/>
      </w:pPr>
      <w:r>
        <w:rPr>
          <w:rFonts w:ascii="Arial" w:hAnsi="Arial"/>
          <w:b/>
          <w:color w:val="006699"/>
          <w:sz w:val="26"/>
        </w:rPr>
        <w:t>Data Coverage Breakdown</w:t>
      </w:r>
    </w:p>
    <w:p>
      <w:pPr>
        <w:pStyle w:val="ListBullet"/>
        <w:spacing w:after="60"/>
      </w:pPr>
      <w:r>
        <w:rPr>
          <w:b/>
          <w:color w:val="006699"/>
        </w:rPr>
        <w:t xml:space="preserve">Demographic Attributes: </w:t>
      </w:r>
      <w:r>
        <w:t>Record ID, MRN, First Name, Last Name, Age, Sex, Address (Zone, Wereda, Kebele), Phone Number.</w:t>
      </w:r>
    </w:p>
    <w:p>
      <w:pPr>
        <w:pStyle w:val="ListBullet"/>
        <w:spacing w:after="60"/>
      </w:pPr>
      <w:r>
        <w:rPr>
          <w:b/>
          <w:color w:val="006699"/>
        </w:rPr>
        <w:t xml:space="preserve">Program Enrollments: </w:t>
      </w:r>
      <w:r>
        <w:t>Enrolls entities in Maternal Inpatient Data (MID) or Neonatal Care Form (NCF) programs.</w:t>
      </w:r>
    </w:p>
    <w:p>
      <w:pPr>
        <w:pStyle w:val="ListBullet"/>
        <w:spacing w:after="60"/>
      </w:pPr>
      <w:r>
        <w:rPr>
          <w:b/>
          <w:color w:val="006699"/>
        </w:rPr>
        <w:t xml:space="preserve">Clinical Stage Events: </w:t>
      </w:r>
      <w:r>
        <w:t>Processes all repeatable stage forms including NICU Admission Careform, Progress Care Form for Referral Hospitals, Nurse Followup Sheet, KMC Ward Followup Sheet, Neonatal Referral Form, Discharge Careform, and Investigation Sheet.</w:t>
      </w:r>
    </w:p>
    <w:p>
      <w:pPr>
        <w:pStyle w:val="ListBullet"/>
        <w:spacing w:after="60"/>
      </w:pPr>
      <w:r>
        <w:rPr>
          <w:b/>
          <w:color w:val="006699"/>
        </w:rPr>
        <w:t xml:space="preserve">Facility OrgUnit Resolution: </w:t>
      </w:r>
      <w:r>
        <w:t>Automatically resolves facility codes (e.g. '1001' or MFL codes) to DHIS2 Organisation Unit UIDs.</w:t>
      </w:r>
    </w:p>
    <w:p>
      <w:pPr>
        <w:keepNext/>
        <w:spacing w:before="360" w:after="120"/>
      </w:pPr>
      <w:r>
        <w:rPr>
          <w:rFonts w:ascii="Arial" w:hAnsi="Arial"/>
          <w:b/>
          <w:color w:val="003366"/>
          <w:sz w:val="32"/>
        </w:rPr>
        <w:t>4. Deployment Strategies &amp; Network Topology</w:t>
      </w:r>
    </w:p>
    <w:p>
      <w:r>
        <w:t>Facility network configurations dictate how the mediator is deployed across health facilities in Ethiopia:</w:t>
      </w:r>
    </w:p>
    <w:p>
      <w:pPr>
        <w:keepNext/>
        <w:spacing w:before="280" w:after="80"/>
      </w:pPr>
      <w:r>
        <w:rPr>
          <w:rFonts w:ascii="Arial" w:hAnsi="Arial"/>
          <w:b/>
          <w:color w:val="006699"/>
          <w:sz w:val="26"/>
        </w:rPr>
        <w:t>Scenario A: Online Facilities (Hospital LAN with Internet)</w:t>
      </w:r>
    </w:p>
    <w:p>
      <w:r>
        <w:t>When OpenMRS is accessible on a local hospital LAN (e.g., http://192.168.1.100:8080/openmrs) and the hospital has internet access:</w:t>
        <w:br/>
      </w:r>
      <w:r>
        <w:t>1. The Mediator is installed inside the facility network on a local server.</w:t>
        <w:br/>
      </w:r>
      <w:r>
        <w:t>2. It reads patient data locally over the hospital LAN.</w:t>
        <w:br/>
      </w:r>
      <w:r>
        <w:t>3. It sends outbound HTTPS requests to central DHIS2 (https://imnid.mohdigitalhealth.gov.et).</w:t>
        <w:br/>
      </w:r>
      <w:r>
        <w:rPr>
          <w:i/>
        </w:rPr>
        <w:t>Outbound connections are allowed by hospital firewalls even when inbound internet access is blocked.</w:t>
      </w:r>
    </w:p>
    <w:p>
      <w:pPr>
        <w:keepNext/>
        <w:spacing w:before="280" w:after="80"/>
      </w:pPr>
      <w:r>
        <w:rPr>
          <w:rFonts w:ascii="Arial" w:hAnsi="Arial"/>
          <w:b/>
          <w:color w:val="006699"/>
          <w:sz w:val="26"/>
        </w:rPr>
        <w:t>Scenario B: Offline Facilities (Disconnected LAN)</w:t>
      </w:r>
    </w:p>
    <w:p>
      <w:r>
        <w:t>For health facilities without internet access to DHIS2:</w:t>
        <w:br/>
      </w:r>
      <w:r>
        <w:t>1. Staff use the Desktop App (or Mediator locally) to extract and transform local EMR data to CSV.</w:t>
        <w:br/>
      </w:r>
      <w:r>
        <w:t>2. The transformed CSV file is saved onto a USB flash drive.</w:t>
        <w:br/>
      </w:r>
      <w:r>
        <w:t>3. The CSV is transported to a regional health hub or uploaded when internet connection is available.</w:t>
      </w:r>
    </w:p>
    <w:p>
      <w:pPr>
        <w:keepNext/>
        <w:spacing w:before="360" w:after="120"/>
      </w:pPr>
      <w:r>
        <w:rPr>
          <w:rFonts w:ascii="Arial" w:hAnsi="Arial"/>
          <w:b/>
          <w:color w:val="003366"/>
          <w:sz w:val="32"/>
        </w:rPr>
        <w:t>5. API Specification &amp; How to Use</w:t>
      </w:r>
    </w:p>
    <w:p>
      <w:r>
        <w:t>The mediator exposes standard REST endpoints for automated scheduling and manual testing.</w:t>
      </w:r>
    </w:p>
    <w:p>
      <w:pPr>
        <w:keepNext/>
        <w:spacing w:before="280" w:after="80"/>
      </w:pPr>
      <w:r>
        <w:rPr>
          <w:rFonts w:ascii="Arial" w:hAnsi="Arial"/>
          <w:b/>
          <w:color w:val="006699"/>
          <w:sz w:val="26"/>
        </w:rPr>
        <w:t>Server Startup</w:t>
      </w:r>
    </w:p>
    <w:p>
      <w:r>
        <w:rPr>
          <w:rFonts w:ascii="Consolas" w:hAnsi="Consolas"/>
        </w:rPr>
        <w:t>To launch the mediator server locally or on a facility server:</w:t>
        <w:br/>
        <w:t xml:space="preserve">  python mediator.py</w:t>
      </w:r>
    </w:p>
    <w:p>
      <w:pPr>
        <w:keepNext/>
        <w:spacing w:before="280" w:after="80"/>
      </w:pPr>
      <w:r>
        <w:rPr>
          <w:rFonts w:ascii="Arial" w:hAnsi="Arial"/>
          <w:b/>
          <w:color w:val="006699"/>
          <w:sz w:val="26"/>
        </w:rPr>
        <w:t>API Endpoints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Method &amp; Endpoint</w:t>
            </w:r>
          </w:p>
        </w:tc>
        <w:tc>
          <w:tcPr>
            <w:tcW w:type="dxa" w:w="312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120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Target EMR Version</w:t>
            </w:r>
          </w:p>
        </w:tc>
      </w:tr>
      <w:tr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GET /health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Health Check &amp; Uptime Monitor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All Systems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POST /api/v1/sync/bahmni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Full Sync Pipeline for Bahmni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OpenMRS 2.x / Bahmni</w:t>
            </w:r>
          </w:p>
        </w:tc>
      </w:tr>
      <w:tr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POST /api/v1/sync/o3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Full Sync Pipeline with Form Schemas</w:t>
            </w:r>
          </w:p>
        </w:tc>
        <w:tc>
          <w:tcPr>
            <w:tcW w:type="dxa" w:w="3120"/>
            <w:shd w:fill="F9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20"/>
              </w:rPr>
              <w:t>OpenMRS 3.x (O3)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006699"/>
          <w:sz w:val="26"/>
        </w:rPr>
        <w:t>Sample Request Body (JSON)</w:t>
      </w:r>
    </w:p>
    <w:p>
      <w:r>
        <w:rPr>
          <w:rFonts w:ascii="Consolas" w:hAnsi="Consolas"/>
          <w:sz w:val="19"/>
        </w:rPr>
        <w:t>{</w:t>
        <w:br/>
        <w:t xml:space="preserve">  "emr_base_url": "http://192.168.1.100:8080/openmrs",</w:t>
        <w:br/>
        <w:t xml:space="preserve">  "emr_username": "superman",</w:t>
        <w:br/>
        <w:t xml:space="preserve">  "emr_password": "Admin123",</w:t>
        <w:br/>
        <w:t xml:space="preserve">  "facility_code": "1001",</w:t>
        <w:br/>
        <w:t xml:space="preserve">  "visit_type_name": "Delivery",</w:t>
        <w:br/>
        <w:t xml:space="preserve">  "start_date": "2026-01-01",</w:t>
        <w:br/>
        <w:t xml:space="preserve">  "end_date": "2026-08-30",</w:t>
        <w:br/>
        <w:t xml:space="preserve">  "dhis2_url": "https://imnid.mohdigitalhealth.gov.et",</w:t>
        <w:br/>
        <w:t xml:space="preserve">  "dhis2_username": "admin",</w:t>
        <w:br/>
        <w:t xml:space="preserve">  "dhis2_password": "district"</w:t>
        <w:br/>
        <w:t>}</w:t>
      </w:r>
    </w:p>
    <w:p>
      <w:pPr>
        <w:keepNext/>
        <w:spacing w:before="360" w:after="120"/>
      </w:pPr>
      <w:r>
        <w:rPr>
          <w:rFonts w:ascii="Arial" w:hAnsi="Arial"/>
          <w:b/>
          <w:color w:val="003366"/>
          <w:sz w:val="32"/>
        </w:rPr>
        <w:t>6. Desktop App vs. Mediator Hybrid Architecture</w:t>
      </w:r>
    </w:p>
    <w:p>
      <w:r>
        <w:rPr>
          <w:b/>
        </w:rPr>
        <w:t xml:space="preserve">The platform is built as a </w:t>
      </w:r>
      <w:r>
        <w:rPr>
          <w:b/>
        </w:rPr>
        <w:t>Hybrid System</w:t>
      </w:r>
      <w:r>
        <w:t xml:space="preserve"> offering two operating modes powered by the same underlying Python engine:</w:t>
        <w:br/>
        <w:br/>
      </w:r>
      <w:r>
        <w:rPr>
          <w:b/>
        </w:rPr>
        <w:t xml:space="preserve">1. Desktop GUI (main.py): </w:t>
      </w:r>
      <w:r>
        <w:t>Used by hospital data clerks for visual date selection, file export, and manual syncs.</w:t>
        <w:br/>
      </w:r>
      <w:r>
        <w:rPr>
          <w:b/>
        </w:rPr>
        <w:t xml:space="preserve">2. REST Mediator (mediator.py): </w:t>
      </w:r>
      <w:r>
        <w:t>Used by server background cron jobs and OpenHIM gateways for automated 24/7 synchronization.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