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4"/>
        <w:gridCol w:w="2631"/>
        <w:gridCol w:w="850"/>
        <w:gridCol w:w="2299"/>
        <w:gridCol w:w="76"/>
      </w:tblGrid>
      <w:tr w:rsidR="00A70740" w14:paraId="2656EDAB" w14:textId="77777777" w:rsidTr="00334E6D"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60D645A9" w14:textId="6786AE62" w:rsidR="00334E6D" w:rsidRDefault="006A2E40">
            <w:r>
              <w:rPr>
                <w:noProof/>
              </w:rPr>
              <w:drawing>
                <wp:inline distT="0" distB="0" distL="0" distR="0" wp14:anchorId="63C14CFD" wp14:editId="663B99EC">
                  <wp:extent cx="885825" cy="849994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009" cy="864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3B576A" w14:textId="77777777" w:rsidR="00D01CBC" w:rsidRDefault="00D01CBC"/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</w:tcPr>
          <w:p w14:paraId="5A952A04" w14:textId="77777777" w:rsidR="00334E6D" w:rsidRDefault="00334E6D">
            <w:r>
              <w:rPr>
                <w:noProof/>
                <w:lang w:eastAsia="es-ES"/>
              </w:rPr>
              <w:drawing>
                <wp:inline distT="0" distB="0" distL="0" distR="0" wp14:anchorId="35900C8B" wp14:editId="723DFFB1">
                  <wp:extent cx="1533525" cy="923925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OAINT_ESP-exp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9B13F" w14:textId="108D6251" w:rsidR="00334E6D" w:rsidRDefault="00334E6D">
            <w:r w:rsidRPr="00334E6D">
              <w:rPr>
                <w:b/>
              </w:rPr>
              <w:t xml:space="preserve">Cliente: </w:t>
            </w:r>
            <w:r w:rsidR="00A70740">
              <w:rPr>
                <w:b/>
              </w:rPr>
              <w:t>Banco Bolivariano</w:t>
            </w:r>
          </w:p>
          <w:p w14:paraId="029196E8" w14:textId="54EC3877" w:rsidR="00334E6D" w:rsidRDefault="00334E6D">
            <w:r w:rsidRPr="00334E6D">
              <w:rPr>
                <w:b/>
              </w:rPr>
              <w:t>Proyecto:</w:t>
            </w:r>
            <w:r>
              <w:t xml:space="preserve"> </w:t>
            </w:r>
            <w:r w:rsidR="006A2E40">
              <w:t>Consultoría</w:t>
            </w:r>
            <w:r w:rsidR="00A70740">
              <w:t xml:space="preserve"> Arquitectura Recaudaciones</w:t>
            </w:r>
          </w:p>
        </w:tc>
      </w:tr>
      <w:tr w:rsidR="006A2E40" w14:paraId="4C063AC9" w14:textId="77777777" w:rsidTr="0036322A">
        <w:trPr>
          <w:gridAfter w:val="1"/>
          <w:wAfter w:w="76" w:type="dxa"/>
        </w:trPr>
        <w:tc>
          <w:tcPr>
            <w:tcW w:w="6345" w:type="dxa"/>
            <w:gridSpan w:val="3"/>
          </w:tcPr>
          <w:p w14:paraId="6FE8731E" w14:textId="5E8A74A0" w:rsidR="0036322A" w:rsidRDefault="0036322A">
            <w:r w:rsidRPr="003C3224">
              <w:rPr>
                <w:b/>
              </w:rPr>
              <w:t>Razón:</w:t>
            </w:r>
            <w:r>
              <w:t xml:space="preserve"> Acta </w:t>
            </w:r>
            <w:r w:rsidR="00DD299E">
              <w:t>c</w:t>
            </w:r>
            <w:r w:rsidR="006A2E40">
              <w:t xml:space="preserve">onsultoría </w:t>
            </w:r>
            <w:r w:rsidR="00DD299E">
              <w:t xml:space="preserve">Arquitectura </w:t>
            </w:r>
          </w:p>
        </w:tc>
        <w:tc>
          <w:tcPr>
            <w:tcW w:w="2299" w:type="dxa"/>
          </w:tcPr>
          <w:p w14:paraId="43952701" w14:textId="350E77D1" w:rsidR="0036322A" w:rsidRDefault="0036322A">
            <w:r w:rsidRPr="003C3224">
              <w:rPr>
                <w:b/>
              </w:rPr>
              <w:t>Fecha:</w:t>
            </w:r>
            <w:r w:rsidR="00DD299E">
              <w:rPr>
                <w:b/>
              </w:rPr>
              <w:t xml:space="preserve"> 17</w:t>
            </w:r>
            <w:r w:rsidR="00D01CBC">
              <w:t>-</w:t>
            </w:r>
            <w:r w:rsidR="00DD299E">
              <w:t>05</w:t>
            </w:r>
            <w:r w:rsidR="003C3224">
              <w:t>-202</w:t>
            </w:r>
            <w:r w:rsidR="00030267">
              <w:t>2</w:t>
            </w:r>
          </w:p>
        </w:tc>
      </w:tr>
      <w:tr w:rsidR="006A2E40" w14:paraId="6FEE7CE6" w14:textId="77777777" w:rsidTr="0036322A">
        <w:trPr>
          <w:gridAfter w:val="1"/>
          <w:wAfter w:w="76" w:type="dxa"/>
        </w:trPr>
        <w:tc>
          <w:tcPr>
            <w:tcW w:w="6345" w:type="dxa"/>
            <w:gridSpan w:val="3"/>
            <w:vMerge w:val="restart"/>
          </w:tcPr>
          <w:p w14:paraId="260A20AA" w14:textId="77777777" w:rsidR="0036322A" w:rsidRPr="003C3224" w:rsidRDefault="0036322A">
            <w:pPr>
              <w:rPr>
                <w:b/>
              </w:rPr>
            </w:pPr>
            <w:r w:rsidRPr="003C3224">
              <w:rPr>
                <w:b/>
              </w:rPr>
              <w:t>Objetivos:</w:t>
            </w:r>
          </w:p>
          <w:p w14:paraId="6D93E5F5" w14:textId="02E5659D" w:rsidR="0036322A" w:rsidRDefault="0036322A" w:rsidP="00AC66B6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Informar </w:t>
            </w:r>
            <w:r w:rsidR="00DD299E">
              <w:t>observaciones de arquitectura de solución para el proyecto de recaudaciones.</w:t>
            </w:r>
          </w:p>
        </w:tc>
        <w:tc>
          <w:tcPr>
            <w:tcW w:w="2299" w:type="dxa"/>
          </w:tcPr>
          <w:p w14:paraId="5DE9DDCA" w14:textId="4F7704A5" w:rsidR="0036322A" w:rsidRDefault="0036322A">
            <w:r w:rsidRPr="003C3224">
              <w:rPr>
                <w:b/>
              </w:rPr>
              <w:t>Lugar:</w:t>
            </w:r>
            <w:r w:rsidR="00D01CBC">
              <w:t xml:space="preserve"> </w:t>
            </w:r>
            <w:r w:rsidR="00DD299E">
              <w:t xml:space="preserve">Google </w:t>
            </w:r>
            <w:proofErr w:type="spellStart"/>
            <w:r w:rsidR="00DD299E">
              <w:t>Meet</w:t>
            </w:r>
            <w:proofErr w:type="spellEnd"/>
          </w:p>
        </w:tc>
      </w:tr>
      <w:tr w:rsidR="006A2E40" w14:paraId="6889046B" w14:textId="77777777" w:rsidTr="0036322A">
        <w:trPr>
          <w:gridAfter w:val="1"/>
          <w:wAfter w:w="76" w:type="dxa"/>
        </w:trPr>
        <w:tc>
          <w:tcPr>
            <w:tcW w:w="6345" w:type="dxa"/>
            <w:gridSpan w:val="3"/>
            <w:vMerge/>
          </w:tcPr>
          <w:p w14:paraId="2B3A80B0" w14:textId="77777777" w:rsidR="0036322A" w:rsidRDefault="0036322A"/>
        </w:tc>
        <w:tc>
          <w:tcPr>
            <w:tcW w:w="2299" w:type="dxa"/>
          </w:tcPr>
          <w:p w14:paraId="7E67A099" w14:textId="49401E61" w:rsidR="0036322A" w:rsidRDefault="0036322A">
            <w:r w:rsidRPr="003C3224">
              <w:rPr>
                <w:b/>
              </w:rPr>
              <w:t>Hora:</w:t>
            </w:r>
            <w:r>
              <w:t xml:space="preserve"> </w:t>
            </w:r>
            <w:r w:rsidR="00DD299E">
              <w:t>2</w:t>
            </w:r>
            <w:r w:rsidR="003C3224">
              <w:t xml:space="preserve">:00 </w:t>
            </w:r>
            <w:r w:rsidR="00030267">
              <w:t>pm</w:t>
            </w:r>
          </w:p>
        </w:tc>
      </w:tr>
      <w:tr w:rsidR="006A2E40" w14:paraId="7C94331C" w14:textId="77777777" w:rsidTr="0036322A">
        <w:trPr>
          <w:gridAfter w:val="1"/>
          <w:wAfter w:w="76" w:type="dxa"/>
        </w:trPr>
        <w:tc>
          <w:tcPr>
            <w:tcW w:w="6345" w:type="dxa"/>
            <w:gridSpan w:val="3"/>
            <w:vMerge/>
          </w:tcPr>
          <w:p w14:paraId="6B7B5A01" w14:textId="77777777" w:rsidR="0036322A" w:rsidRDefault="0036322A"/>
        </w:tc>
        <w:tc>
          <w:tcPr>
            <w:tcW w:w="2299" w:type="dxa"/>
          </w:tcPr>
          <w:p w14:paraId="7638D019" w14:textId="431DB450" w:rsidR="0036322A" w:rsidRDefault="003C3224">
            <w:r w:rsidRPr="003C3224">
              <w:rPr>
                <w:b/>
              </w:rPr>
              <w:t xml:space="preserve">Acta: </w:t>
            </w:r>
            <w:r>
              <w:t>00</w:t>
            </w:r>
            <w:r w:rsidR="00DD299E">
              <w:t>1</w:t>
            </w:r>
          </w:p>
        </w:tc>
      </w:tr>
    </w:tbl>
    <w:p w14:paraId="5C79A5E4" w14:textId="77777777" w:rsidR="0036322A" w:rsidRDefault="003632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322A" w14:paraId="7E624D8B" w14:textId="77777777" w:rsidTr="003C3224">
        <w:tc>
          <w:tcPr>
            <w:tcW w:w="8644" w:type="dxa"/>
            <w:gridSpan w:val="2"/>
            <w:shd w:val="clear" w:color="auto" w:fill="B8CCE4" w:themeFill="accent1" w:themeFillTint="66"/>
          </w:tcPr>
          <w:p w14:paraId="41DE0B3F" w14:textId="77777777" w:rsidR="0036322A" w:rsidRPr="003C3224" w:rsidRDefault="0036322A" w:rsidP="003C3224">
            <w:pPr>
              <w:jc w:val="center"/>
              <w:rPr>
                <w:b/>
              </w:rPr>
            </w:pPr>
            <w:r w:rsidRPr="003C3224">
              <w:rPr>
                <w:b/>
              </w:rPr>
              <w:t>Participantes</w:t>
            </w:r>
          </w:p>
        </w:tc>
      </w:tr>
      <w:tr w:rsidR="0036322A" w14:paraId="3C36D672" w14:textId="77777777" w:rsidTr="003C3224">
        <w:tc>
          <w:tcPr>
            <w:tcW w:w="4322" w:type="dxa"/>
            <w:shd w:val="clear" w:color="auto" w:fill="B8CCE4" w:themeFill="accent1" w:themeFillTint="66"/>
          </w:tcPr>
          <w:p w14:paraId="1C45CFA6" w14:textId="77777777" w:rsidR="0036322A" w:rsidRPr="003C3224" w:rsidRDefault="0036322A" w:rsidP="003C3224">
            <w:pPr>
              <w:jc w:val="center"/>
              <w:rPr>
                <w:b/>
              </w:rPr>
            </w:pPr>
            <w:r w:rsidRPr="003C3224">
              <w:rPr>
                <w:b/>
              </w:rPr>
              <w:t>Nombre</w:t>
            </w:r>
          </w:p>
        </w:tc>
        <w:tc>
          <w:tcPr>
            <w:tcW w:w="4322" w:type="dxa"/>
            <w:shd w:val="clear" w:color="auto" w:fill="B8CCE4" w:themeFill="accent1" w:themeFillTint="66"/>
          </w:tcPr>
          <w:p w14:paraId="3D3BDA6A" w14:textId="77777777" w:rsidR="0036322A" w:rsidRPr="003C3224" w:rsidRDefault="0036322A" w:rsidP="003C3224">
            <w:pPr>
              <w:jc w:val="center"/>
              <w:rPr>
                <w:b/>
              </w:rPr>
            </w:pPr>
            <w:r w:rsidRPr="003C3224">
              <w:rPr>
                <w:b/>
              </w:rPr>
              <w:t>Empresa</w:t>
            </w:r>
          </w:p>
        </w:tc>
      </w:tr>
      <w:tr w:rsidR="00E61CE6" w14:paraId="010902C1" w14:textId="77777777" w:rsidTr="0036322A">
        <w:tc>
          <w:tcPr>
            <w:tcW w:w="4322" w:type="dxa"/>
          </w:tcPr>
          <w:p w14:paraId="178BBE65" w14:textId="06B594AF" w:rsidR="00E61CE6" w:rsidRDefault="00E61CE6">
            <w:r>
              <w:t xml:space="preserve">Miguel </w:t>
            </w:r>
            <w:proofErr w:type="spellStart"/>
            <w:r>
              <w:t>Behr</w:t>
            </w:r>
            <w:proofErr w:type="spellEnd"/>
          </w:p>
        </w:tc>
        <w:tc>
          <w:tcPr>
            <w:tcW w:w="4322" w:type="dxa"/>
          </w:tcPr>
          <w:p w14:paraId="6713E36F" w14:textId="66916828" w:rsidR="00E61CE6" w:rsidRDefault="00E61CE6">
            <w:r>
              <w:t>Banco Bolivariano</w:t>
            </w:r>
          </w:p>
        </w:tc>
      </w:tr>
      <w:tr w:rsidR="00E61CE6" w14:paraId="10EF90B4" w14:textId="77777777" w:rsidTr="0036322A">
        <w:tc>
          <w:tcPr>
            <w:tcW w:w="4322" w:type="dxa"/>
          </w:tcPr>
          <w:p w14:paraId="6AF2010F" w14:textId="199B5FE8" w:rsidR="00E61CE6" w:rsidRDefault="00E61CE6">
            <w:r>
              <w:t>Jonathan Guerrero</w:t>
            </w:r>
          </w:p>
        </w:tc>
        <w:tc>
          <w:tcPr>
            <w:tcW w:w="4322" w:type="dxa"/>
          </w:tcPr>
          <w:p w14:paraId="611F82F3" w14:textId="49C0A956" w:rsidR="00E61CE6" w:rsidRDefault="00E61CE6">
            <w:r>
              <w:t>Banco Bolivariano</w:t>
            </w:r>
          </w:p>
        </w:tc>
      </w:tr>
      <w:tr w:rsidR="00030267" w14:paraId="54BEB3DE" w14:textId="77777777" w:rsidTr="0036322A">
        <w:tc>
          <w:tcPr>
            <w:tcW w:w="4322" w:type="dxa"/>
          </w:tcPr>
          <w:p w14:paraId="75D9DA57" w14:textId="2DCF6BFD" w:rsidR="00030267" w:rsidRDefault="005C5E41">
            <w:r>
              <w:t>Darío</w:t>
            </w:r>
            <w:r w:rsidR="00B0770F">
              <w:t xml:space="preserve"> Barco</w:t>
            </w:r>
            <w:r w:rsidR="00E61CE6">
              <w:t xml:space="preserve"> León </w:t>
            </w:r>
          </w:p>
        </w:tc>
        <w:tc>
          <w:tcPr>
            <w:tcW w:w="4322" w:type="dxa"/>
          </w:tcPr>
          <w:p w14:paraId="419A3A63" w14:textId="483780EC" w:rsidR="00030267" w:rsidRDefault="00B0770F">
            <w:r>
              <w:t>Banco Bolivariano</w:t>
            </w:r>
          </w:p>
        </w:tc>
      </w:tr>
      <w:tr w:rsidR="00DD299E" w14:paraId="724F116F" w14:textId="77777777" w:rsidTr="0036322A">
        <w:tc>
          <w:tcPr>
            <w:tcW w:w="4322" w:type="dxa"/>
          </w:tcPr>
          <w:p w14:paraId="73E91A04" w14:textId="64300F7D" w:rsidR="00DD299E" w:rsidRDefault="00DD299E">
            <w:r>
              <w:t>Christian Cedeno</w:t>
            </w:r>
          </w:p>
        </w:tc>
        <w:tc>
          <w:tcPr>
            <w:tcW w:w="4322" w:type="dxa"/>
          </w:tcPr>
          <w:p w14:paraId="50980044" w14:textId="2B08C5E1" w:rsidR="00DD299E" w:rsidRDefault="00DD299E">
            <w:r>
              <w:t>SOAINT</w:t>
            </w:r>
          </w:p>
        </w:tc>
      </w:tr>
      <w:tr w:rsidR="00030267" w14:paraId="62E0F193" w14:textId="77777777" w:rsidTr="0036322A">
        <w:tc>
          <w:tcPr>
            <w:tcW w:w="4322" w:type="dxa"/>
          </w:tcPr>
          <w:p w14:paraId="5FCFE4BC" w14:textId="3C6BA0D1" w:rsidR="00030267" w:rsidRDefault="00DD299E">
            <w:r>
              <w:t>Sayra Rosero</w:t>
            </w:r>
          </w:p>
        </w:tc>
        <w:tc>
          <w:tcPr>
            <w:tcW w:w="4322" w:type="dxa"/>
          </w:tcPr>
          <w:p w14:paraId="4586E3E0" w14:textId="4A7486A3" w:rsidR="00030267" w:rsidRDefault="00DD299E">
            <w:r>
              <w:t>SOAINT</w:t>
            </w:r>
          </w:p>
        </w:tc>
      </w:tr>
      <w:tr w:rsidR="00334E6D" w14:paraId="103A2DBE" w14:textId="77777777" w:rsidTr="0036322A">
        <w:tc>
          <w:tcPr>
            <w:tcW w:w="4322" w:type="dxa"/>
          </w:tcPr>
          <w:p w14:paraId="704655A5" w14:textId="77777777" w:rsidR="00334E6D" w:rsidRDefault="00334E6D">
            <w:proofErr w:type="spellStart"/>
            <w:r>
              <w:t>Liennys</w:t>
            </w:r>
            <w:proofErr w:type="spellEnd"/>
            <w:r>
              <w:t xml:space="preserve"> </w:t>
            </w:r>
            <w:r w:rsidR="007B7BF6">
              <w:t>González</w:t>
            </w:r>
          </w:p>
        </w:tc>
        <w:tc>
          <w:tcPr>
            <w:tcW w:w="4322" w:type="dxa"/>
          </w:tcPr>
          <w:p w14:paraId="55509A3E" w14:textId="77777777" w:rsidR="00334E6D" w:rsidRDefault="00334E6D">
            <w:r>
              <w:t>SOAINT</w:t>
            </w:r>
          </w:p>
        </w:tc>
      </w:tr>
    </w:tbl>
    <w:p w14:paraId="22F9971C" w14:textId="77777777" w:rsidR="0036322A" w:rsidRDefault="003632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6322A" w14:paraId="587112AE" w14:textId="77777777" w:rsidTr="003C3224">
        <w:tc>
          <w:tcPr>
            <w:tcW w:w="8644" w:type="dxa"/>
            <w:shd w:val="clear" w:color="auto" w:fill="B8CCE4" w:themeFill="accent1" w:themeFillTint="66"/>
          </w:tcPr>
          <w:p w14:paraId="5C26D2C7" w14:textId="52FC256F" w:rsidR="0036322A" w:rsidRPr="0036322A" w:rsidRDefault="00E575D7" w:rsidP="00E61CE6">
            <w:pPr>
              <w:spacing w:line="276" w:lineRule="auto"/>
              <w:rPr>
                <w:b/>
              </w:rPr>
            </w:pPr>
            <w:r>
              <w:rPr>
                <w:b/>
              </w:rPr>
              <w:t>Observaciones realizadas al diagrama de arquitectura</w:t>
            </w:r>
            <w:r w:rsidR="0036322A" w:rsidRPr="0036322A">
              <w:rPr>
                <w:b/>
              </w:rPr>
              <w:t xml:space="preserve"> </w:t>
            </w:r>
          </w:p>
        </w:tc>
      </w:tr>
      <w:tr w:rsidR="0036322A" w14:paraId="2F45F785" w14:textId="77777777" w:rsidTr="0036322A">
        <w:tc>
          <w:tcPr>
            <w:tcW w:w="8644" w:type="dxa"/>
          </w:tcPr>
          <w:p w14:paraId="1211DD1E" w14:textId="77777777" w:rsidR="00030267" w:rsidRDefault="00030267" w:rsidP="00030267"/>
          <w:p w14:paraId="525C76E1" w14:textId="1D2E0688" w:rsidR="00030267" w:rsidRDefault="00E575D7" w:rsidP="007D21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Posibles puntos de fallos (alta disponibilidad)</w:t>
            </w:r>
          </w:p>
          <w:p w14:paraId="0F6A4E83" w14:textId="51EAD962" w:rsidR="00E575D7" w:rsidRDefault="00E575D7" w:rsidP="00E575D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consulta al cliente de los puntos de falla a nivel de la arquitectura y se identifican dos puntos críticos.</w:t>
            </w:r>
          </w:p>
          <w:p w14:paraId="0B87B0B2" w14:textId="6A8C4E96" w:rsidR="00E575D7" w:rsidRDefault="00E575D7" w:rsidP="00E575D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2376D2">
              <w:rPr>
                <w:rFonts w:ascii="Arial" w:hAnsi="Arial" w:cs="Arial"/>
              </w:rPr>
              <w:t>Message</w:t>
            </w:r>
            <w:proofErr w:type="spellEnd"/>
            <w:r w:rsidRPr="002376D2">
              <w:rPr>
                <w:rFonts w:ascii="Arial" w:hAnsi="Arial" w:cs="Arial"/>
              </w:rPr>
              <w:t xml:space="preserve"> </w:t>
            </w:r>
            <w:proofErr w:type="spellStart"/>
            <w:r w:rsidRPr="002376D2">
              <w:rPr>
                <w:rFonts w:ascii="Arial" w:hAnsi="Arial" w:cs="Arial"/>
              </w:rPr>
              <w:t>Boker</w:t>
            </w:r>
            <w:proofErr w:type="spellEnd"/>
            <w:r w:rsidRPr="002376D2">
              <w:rPr>
                <w:rFonts w:ascii="Arial" w:hAnsi="Arial" w:cs="Arial"/>
              </w:rPr>
              <w:t xml:space="preserve">, no cuenta con alta disponibilidad, se recomienda implementar la solución </w:t>
            </w:r>
            <w:r w:rsidR="0098207A" w:rsidRPr="002376D2">
              <w:rPr>
                <w:rFonts w:ascii="Arial" w:hAnsi="Arial" w:cs="Arial"/>
              </w:rPr>
              <w:t>actual</w:t>
            </w:r>
            <w:r w:rsidRPr="002376D2">
              <w:rPr>
                <w:rFonts w:ascii="Arial" w:hAnsi="Arial" w:cs="Arial"/>
              </w:rPr>
              <w:t xml:space="preserve"> en alta disponibilidad, o a su vez utilizar alguna solución open </w:t>
            </w:r>
            <w:proofErr w:type="spellStart"/>
            <w:r w:rsidRPr="002376D2">
              <w:rPr>
                <w:rFonts w:ascii="Arial" w:hAnsi="Arial" w:cs="Arial"/>
              </w:rPr>
              <w:t>source</w:t>
            </w:r>
            <w:proofErr w:type="spellEnd"/>
            <w:r w:rsidRPr="002376D2">
              <w:rPr>
                <w:rFonts w:ascii="Arial" w:hAnsi="Arial" w:cs="Arial"/>
              </w:rPr>
              <w:t xml:space="preserve"> como </w:t>
            </w:r>
            <w:proofErr w:type="spellStart"/>
            <w:r w:rsidR="0098207A">
              <w:rPr>
                <w:rFonts w:ascii="Arial" w:hAnsi="Arial" w:cs="Arial"/>
              </w:rPr>
              <w:t>C</w:t>
            </w:r>
            <w:r w:rsidR="002376D2" w:rsidRPr="002376D2">
              <w:rPr>
                <w:rFonts w:ascii="Arial" w:hAnsi="Arial" w:cs="Arial"/>
              </w:rPr>
              <w:t>loudevents</w:t>
            </w:r>
            <w:proofErr w:type="spellEnd"/>
            <w:r w:rsidR="002376D2" w:rsidRPr="002376D2">
              <w:rPr>
                <w:rFonts w:ascii="Arial" w:hAnsi="Arial" w:cs="Arial"/>
              </w:rPr>
              <w:t xml:space="preserve"> o </w:t>
            </w:r>
            <w:proofErr w:type="spellStart"/>
            <w:r w:rsidRPr="002376D2">
              <w:rPr>
                <w:rFonts w:ascii="Arial" w:hAnsi="Arial" w:cs="Arial"/>
              </w:rPr>
              <w:t>RabbitMQ</w:t>
            </w:r>
            <w:proofErr w:type="spellEnd"/>
            <w:r w:rsidR="002376D2" w:rsidRPr="002376D2">
              <w:rPr>
                <w:rFonts w:ascii="Arial" w:hAnsi="Arial" w:cs="Arial"/>
              </w:rPr>
              <w:t xml:space="preserve"> </w:t>
            </w:r>
            <w:r w:rsidR="002376D2">
              <w:rPr>
                <w:rFonts w:ascii="Arial" w:hAnsi="Arial" w:cs="Arial"/>
              </w:rPr>
              <w:t xml:space="preserve">en alta disponibilidad en </w:t>
            </w:r>
            <w:proofErr w:type="spellStart"/>
            <w:r w:rsidR="002376D2">
              <w:rPr>
                <w:rFonts w:ascii="Arial" w:hAnsi="Arial" w:cs="Arial"/>
              </w:rPr>
              <w:t>standalone</w:t>
            </w:r>
            <w:proofErr w:type="spellEnd"/>
            <w:r w:rsidR="002376D2">
              <w:rPr>
                <w:rFonts w:ascii="Arial" w:hAnsi="Arial" w:cs="Arial"/>
              </w:rPr>
              <w:t xml:space="preserve"> o dentro de la misma infraestructura de </w:t>
            </w:r>
            <w:proofErr w:type="spellStart"/>
            <w:r w:rsidR="002376D2">
              <w:rPr>
                <w:rFonts w:ascii="Arial" w:hAnsi="Arial" w:cs="Arial"/>
              </w:rPr>
              <w:t>openshift</w:t>
            </w:r>
            <w:proofErr w:type="spellEnd"/>
            <w:r w:rsidR="002376D2">
              <w:rPr>
                <w:rFonts w:ascii="Arial" w:hAnsi="Arial" w:cs="Arial"/>
              </w:rPr>
              <w:t>.</w:t>
            </w:r>
          </w:p>
          <w:p w14:paraId="2AFFED2C" w14:textId="77777777" w:rsidR="004E7F22" w:rsidRDefault="00AC6AF5" w:rsidP="00AC6AF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Paquete Base de Datos, Se recomienda desacoplar la lógica del negocio a microservicios, pero depende de la complejidad y tiempo. </w:t>
            </w:r>
          </w:p>
          <w:p w14:paraId="26601BCE" w14:textId="77777777" w:rsidR="00FD7942" w:rsidRDefault="00FD7942" w:rsidP="009820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71D75A6F" w14:textId="6C3F64A6" w:rsidR="0098207A" w:rsidRDefault="00FC49B1" w:rsidP="009820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C49B1">
              <w:rPr>
                <w:rFonts w:ascii="Arial" w:hAnsi="Arial" w:cs="Arial"/>
                <w:b/>
                <w:bCs/>
              </w:rPr>
              <w:t>Capa de Integración con Proveedores</w:t>
            </w:r>
          </w:p>
          <w:p w14:paraId="5BDE05D0" w14:textId="2935959E" w:rsidR="00FC49B1" w:rsidRPr="00FE1A46" w:rsidRDefault="00FD7942" w:rsidP="00FE1A4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</w:rPr>
            </w:pPr>
            <w:r w:rsidRPr="00FE1A46">
              <w:rPr>
                <w:rFonts w:ascii="Arial" w:hAnsi="Arial" w:cs="Arial"/>
              </w:rPr>
              <w:t>Se identifica en la capa de integración con terceros</w:t>
            </w:r>
            <w:r w:rsidR="00EB453F" w:rsidRPr="00FE1A46">
              <w:rPr>
                <w:rFonts w:ascii="Arial" w:hAnsi="Arial" w:cs="Arial"/>
              </w:rPr>
              <w:t xml:space="preserve"> que </w:t>
            </w:r>
            <w:r w:rsidRPr="00FE1A46">
              <w:rPr>
                <w:rFonts w:ascii="Arial" w:hAnsi="Arial" w:cs="Arial"/>
              </w:rPr>
              <w:t xml:space="preserve">se planea desarrollar un microservicio por cada proveedor, lo que implica nuevos componentes </w:t>
            </w:r>
            <w:r w:rsidR="00EB453F" w:rsidRPr="00FE1A46">
              <w:rPr>
                <w:rFonts w:ascii="Arial" w:hAnsi="Arial" w:cs="Arial"/>
              </w:rPr>
              <w:t>para futuros</w:t>
            </w:r>
            <w:r w:rsidRPr="00FE1A46">
              <w:rPr>
                <w:rFonts w:ascii="Arial" w:hAnsi="Arial" w:cs="Arial"/>
              </w:rPr>
              <w:t xml:space="preserve"> proveedor</w:t>
            </w:r>
            <w:r w:rsidR="00EB453F" w:rsidRPr="00FE1A46">
              <w:rPr>
                <w:rFonts w:ascii="Arial" w:hAnsi="Arial" w:cs="Arial"/>
              </w:rPr>
              <w:t>es</w:t>
            </w:r>
            <w:r w:rsidRPr="00FE1A46">
              <w:rPr>
                <w:rFonts w:ascii="Arial" w:hAnsi="Arial" w:cs="Arial"/>
              </w:rPr>
              <w:t xml:space="preserve">. Se recomienda </w:t>
            </w:r>
            <w:r w:rsidR="00EB453F" w:rsidRPr="00FE1A46">
              <w:rPr>
                <w:rFonts w:ascii="Arial" w:hAnsi="Arial" w:cs="Arial"/>
              </w:rPr>
              <w:t xml:space="preserve">un </w:t>
            </w:r>
            <w:r w:rsidRPr="00FE1A46">
              <w:rPr>
                <w:rFonts w:ascii="Arial" w:hAnsi="Arial" w:cs="Arial"/>
              </w:rPr>
              <w:t xml:space="preserve">único </w:t>
            </w:r>
            <w:r w:rsidR="00EB453F" w:rsidRPr="00FE1A46">
              <w:rPr>
                <w:rFonts w:ascii="Arial" w:hAnsi="Arial" w:cs="Arial"/>
              </w:rPr>
              <w:t>microservicio</w:t>
            </w:r>
            <w:r w:rsidRPr="00FE1A46">
              <w:rPr>
                <w:rFonts w:ascii="Arial" w:hAnsi="Arial" w:cs="Arial"/>
              </w:rPr>
              <w:t xml:space="preserve"> tipo proxy, para enrutar a cada </w:t>
            </w:r>
            <w:r w:rsidR="00EB453F" w:rsidRPr="00FE1A46">
              <w:rPr>
                <w:rFonts w:ascii="Arial" w:hAnsi="Arial" w:cs="Arial"/>
              </w:rPr>
              <w:t xml:space="preserve">uno de los servicios expuestos por los </w:t>
            </w:r>
            <w:r w:rsidRPr="00FE1A46">
              <w:rPr>
                <w:rFonts w:ascii="Arial" w:hAnsi="Arial" w:cs="Arial"/>
              </w:rPr>
              <w:t>proveedor</w:t>
            </w:r>
            <w:r w:rsidR="00EB453F" w:rsidRPr="00FE1A46">
              <w:rPr>
                <w:rFonts w:ascii="Arial" w:hAnsi="Arial" w:cs="Arial"/>
              </w:rPr>
              <w:t>es.</w:t>
            </w:r>
          </w:p>
          <w:p w14:paraId="1D1B5B74" w14:textId="77777777" w:rsidR="00FD7942" w:rsidRPr="00FD7942" w:rsidRDefault="00FD7942" w:rsidP="0098207A">
            <w:pPr>
              <w:spacing w:line="360" w:lineRule="auto"/>
              <w:rPr>
                <w:rFonts w:ascii="Arial" w:hAnsi="Arial" w:cs="Arial"/>
              </w:rPr>
            </w:pPr>
          </w:p>
          <w:p w14:paraId="7FBFC0A3" w14:textId="77777777" w:rsidR="00FC49B1" w:rsidRDefault="00FC49B1" w:rsidP="009820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Conciliación de transacciones.</w:t>
            </w:r>
          </w:p>
          <w:p w14:paraId="3358D218" w14:textId="29BFA23C" w:rsidR="00FC49B1" w:rsidRPr="00FE1A46" w:rsidRDefault="00FC49B1" w:rsidP="00FE1A4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FE1A46">
              <w:rPr>
                <w:rFonts w:ascii="Arial" w:hAnsi="Arial" w:cs="Arial"/>
              </w:rPr>
              <w:t xml:space="preserve">Se recomienda tener procesos </w:t>
            </w:r>
            <w:proofErr w:type="spellStart"/>
            <w:r w:rsidR="00164E97" w:rsidRPr="00FE1A46">
              <w:rPr>
                <w:rFonts w:ascii="Arial" w:hAnsi="Arial" w:cs="Arial"/>
              </w:rPr>
              <w:t>b</w:t>
            </w:r>
            <w:r w:rsidRPr="00FE1A46">
              <w:rPr>
                <w:rFonts w:ascii="Arial" w:hAnsi="Arial" w:cs="Arial"/>
              </w:rPr>
              <w:t>a</w:t>
            </w:r>
            <w:r w:rsidR="00FE1A46">
              <w:rPr>
                <w:rFonts w:ascii="Arial" w:hAnsi="Arial" w:cs="Arial"/>
              </w:rPr>
              <w:t>t</w:t>
            </w:r>
            <w:r w:rsidRPr="00FE1A46">
              <w:rPr>
                <w:rFonts w:ascii="Arial" w:hAnsi="Arial" w:cs="Arial"/>
              </w:rPr>
              <w:t>ch</w:t>
            </w:r>
            <w:proofErr w:type="spellEnd"/>
            <w:r w:rsidRPr="00FE1A46">
              <w:rPr>
                <w:rFonts w:ascii="Arial" w:hAnsi="Arial" w:cs="Arial"/>
              </w:rPr>
              <w:t xml:space="preserve"> para la conciliación de </w:t>
            </w:r>
            <w:r w:rsidR="00164E97" w:rsidRPr="00FE1A46">
              <w:rPr>
                <w:rFonts w:ascii="Arial" w:hAnsi="Arial" w:cs="Arial"/>
              </w:rPr>
              <w:t>las</w:t>
            </w:r>
            <w:r w:rsidRPr="00FE1A46">
              <w:rPr>
                <w:rFonts w:ascii="Arial" w:hAnsi="Arial" w:cs="Arial"/>
              </w:rPr>
              <w:t xml:space="preserve"> transacciones </w:t>
            </w:r>
            <w:r w:rsidRPr="00FE1A46">
              <w:rPr>
                <w:rFonts w:ascii="Arial" w:hAnsi="Arial" w:cs="Arial"/>
              </w:rPr>
              <w:lastRenderedPageBreak/>
              <w:t>generadas por cada proveedor.</w:t>
            </w:r>
          </w:p>
          <w:p w14:paraId="6EE9187F" w14:textId="77777777" w:rsidR="00FC49B1" w:rsidRDefault="00FC49B1" w:rsidP="0098207A">
            <w:pPr>
              <w:spacing w:line="360" w:lineRule="auto"/>
              <w:rPr>
                <w:rFonts w:ascii="Arial" w:hAnsi="Arial" w:cs="Arial"/>
              </w:rPr>
            </w:pPr>
          </w:p>
          <w:p w14:paraId="06D72A2B" w14:textId="6D9F465F" w:rsidR="00FC49B1" w:rsidRPr="00FC49B1" w:rsidRDefault="00FC49B1" w:rsidP="009820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C49B1">
              <w:rPr>
                <w:rFonts w:ascii="Arial" w:hAnsi="Arial" w:cs="Arial"/>
                <w:b/>
                <w:bCs/>
              </w:rPr>
              <w:t>Diagrama de Despliegue</w:t>
            </w:r>
          </w:p>
          <w:p w14:paraId="19EF6A9A" w14:textId="77777777" w:rsidR="00FC49B1" w:rsidRPr="00FE1A46" w:rsidRDefault="00FC49B1" w:rsidP="00FE1A4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</w:rPr>
            </w:pPr>
            <w:r w:rsidRPr="00FE1A46">
              <w:rPr>
                <w:rFonts w:ascii="Arial" w:hAnsi="Arial" w:cs="Arial"/>
              </w:rPr>
              <w:t xml:space="preserve">Se recomienda elaborar un diagrama de despliegue que identifique cada uno de los elementos de la solución, </w:t>
            </w:r>
            <w:proofErr w:type="spellStart"/>
            <w:r w:rsidRPr="00FE1A46">
              <w:rPr>
                <w:rFonts w:ascii="Arial" w:hAnsi="Arial" w:cs="Arial"/>
              </w:rPr>
              <w:t>openshift</w:t>
            </w:r>
            <w:proofErr w:type="spellEnd"/>
            <w:r w:rsidRPr="00FE1A46">
              <w:rPr>
                <w:rFonts w:ascii="Arial" w:hAnsi="Arial" w:cs="Arial"/>
              </w:rPr>
              <w:t xml:space="preserve">, redes, equipos, etc. </w:t>
            </w:r>
          </w:p>
          <w:p w14:paraId="7A080FBB" w14:textId="77777777" w:rsidR="00F06630" w:rsidRDefault="00F06630" w:rsidP="0098207A">
            <w:pPr>
              <w:spacing w:line="360" w:lineRule="auto"/>
              <w:rPr>
                <w:rFonts w:ascii="Arial" w:hAnsi="Arial" w:cs="Arial"/>
              </w:rPr>
            </w:pPr>
          </w:p>
          <w:p w14:paraId="4702C41D" w14:textId="77777777" w:rsidR="00F06630" w:rsidRPr="00F06630" w:rsidRDefault="00F06630" w:rsidP="009820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06630">
              <w:rPr>
                <w:rFonts w:ascii="Arial" w:hAnsi="Arial" w:cs="Arial"/>
                <w:b/>
                <w:bCs/>
              </w:rPr>
              <w:t>Diagrama de Procesos</w:t>
            </w:r>
          </w:p>
          <w:p w14:paraId="1E906EA7" w14:textId="0E794655" w:rsidR="00F06630" w:rsidRPr="00FE1A46" w:rsidRDefault="00F06630" w:rsidP="00FE1A4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</w:rPr>
            </w:pPr>
            <w:r w:rsidRPr="00FE1A46">
              <w:rPr>
                <w:rFonts w:ascii="Arial" w:hAnsi="Arial" w:cs="Arial"/>
              </w:rPr>
              <w:t xml:space="preserve">Se recomienda hace un levantamiento y diagrama </w:t>
            </w:r>
            <w:r w:rsidR="00CF7E82" w:rsidRPr="00FE1A46">
              <w:rPr>
                <w:rFonts w:ascii="Arial" w:hAnsi="Arial" w:cs="Arial"/>
              </w:rPr>
              <w:t>BPM</w:t>
            </w:r>
            <w:r w:rsidRPr="00FE1A46">
              <w:rPr>
                <w:rFonts w:ascii="Arial" w:hAnsi="Arial" w:cs="Arial"/>
              </w:rPr>
              <w:t xml:space="preserve"> del proceso de negocio, el objetivo es tener claridad de los flujos de cada una de las operaciones involucradas en la solución</w:t>
            </w:r>
            <w:r w:rsidR="0065552E" w:rsidRPr="00FE1A46">
              <w:rPr>
                <w:rFonts w:ascii="Arial" w:hAnsi="Arial" w:cs="Arial"/>
              </w:rPr>
              <w:t xml:space="preserve"> de inicio a fin</w:t>
            </w:r>
            <w:r w:rsidRPr="00FE1A46">
              <w:rPr>
                <w:rFonts w:ascii="Arial" w:hAnsi="Arial" w:cs="Arial"/>
              </w:rPr>
              <w:t>.</w:t>
            </w:r>
          </w:p>
          <w:p w14:paraId="48D63560" w14:textId="283A43AB" w:rsidR="00F06630" w:rsidRDefault="00F06630" w:rsidP="0098207A">
            <w:pPr>
              <w:spacing w:line="360" w:lineRule="auto"/>
              <w:rPr>
                <w:rFonts w:ascii="Arial" w:hAnsi="Arial" w:cs="Arial"/>
              </w:rPr>
            </w:pPr>
          </w:p>
          <w:p w14:paraId="5E42C844" w14:textId="04AF52A4" w:rsidR="00F06630" w:rsidRPr="00577DF7" w:rsidRDefault="00F06630" w:rsidP="009820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7DF7">
              <w:rPr>
                <w:rFonts w:ascii="Arial" w:hAnsi="Arial" w:cs="Arial"/>
                <w:b/>
                <w:bCs/>
              </w:rPr>
              <w:t xml:space="preserve">Recomendaciones </w:t>
            </w:r>
          </w:p>
          <w:p w14:paraId="52921520" w14:textId="132EACE8" w:rsidR="00F06630" w:rsidRPr="002320A2" w:rsidRDefault="00F06630" w:rsidP="002320A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</w:rPr>
            </w:pPr>
            <w:r w:rsidRPr="002320A2">
              <w:rPr>
                <w:rFonts w:ascii="Arial" w:hAnsi="Arial" w:cs="Arial"/>
              </w:rPr>
              <w:t>Una buena estrategia puede ser</w:t>
            </w:r>
            <w:r w:rsidR="00577DF7" w:rsidRPr="002320A2">
              <w:rPr>
                <w:rFonts w:ascii="Arial" w:hAnsi="Arial" w:cs="Arial"/>
              </w:rPr>
              <w:t xml:space="preserve"> para el desarrollo de aplicaciones orientadas a servicios</w:t>
            </w:r>
            <w:r w:rsidRPr="002320A2">
              <w:rPr>
                <w:rFonts w:ascii="Arial" w:hAnsi="Arial" w:cs="Arial"/>
              </w:rPr>
              <w:t xml:space="preserve">, </w:t>
            </w:r>
            <w:r w:rsidR="00577DF7" w:rsidRPr="002320A2">
              <w:rPr>
                <w:rFonts w:ascii="Arial" w:hAnsi="Arial" w:cs="Arial"/>
              </w:rPr>
              <w:t>aplicar en lo posible la</w:t>
            </w:r>
            <w:r w:rsidRPr="002320A2">
              <w:rPr>
                <w:rFonts w:ascii="Arial" w:hAnsi="Arial" w:cs="Arial"/>
              </w:rPr>
              <w:t xml:space="preserve"> metodología “</w:t>
            </w:r>
            <w:proofErr w:type="spellStart"/>
            <w:r w:rsidRPr="002320A2">
              <w:rPr>
                <w:rFonts w:ascii="Arial" w:hAnsi="Arial" w:cs="Arial"/>
              </w:rPr>
              <w:t>the</w:t>
            </w:r>
            <w:proofErr w:type="spellEnd"/>
            <w:r w:rsidRPr="002320A2">
              <w:rPr>
                <w:rFonts w:ascii="Arial" w:hAnsi="Arial" w:cs="Arial"/>
              </w:rPr>
              <w:t xml:space="preserve"> </w:t>
            </w:r>
            <w:proofErr w:type="spellStart"/>
            <w:r w:rsidRPr="002320A2">
              <w:rPr>
                <w:rFonts w:ascii="Arial" w:hAnsi="Arial" w:cs="Arial"/>
              </w:rPr>
              <w:t>twelve</w:t>
            </w:r>
            <w:proofErr w:type="spellEnd"/>
            <w:r w:rsidRPr="002320A2">
              <w:rPr>
                <w:rFonts w:ascii="Arial" w:hAnsi="Arial" w:cs="Arial"/>
              </w:rPr>
              <w:t>-factor app”</w:t>
            </w:r>
            <w:r w:rsidR="00577DF7" w:rsidRPr="002320A2">
              <w:rPr>
                <w:rFonts w:ascii="Arial" w:hAnsi="Arial" w:cs="Arial"/>
              </w:rPr>
              <w:t xml:space="preserve"> </w:t>
            </w:r>
            <w:hyperlink r:id="rId8" w:history="1">
              <w:r w:rsidR="00577DF7" w:rsidRPr="002320A2">
                <w:rPr>
                  <w:rStyle w:val="Hyperlink"/>
                  <w:rFonts w:ascii="Arial" w:hAnsi="Arial" w:cs="Arial"/>
                </w:rPr>
                <w:t>https://12factor.net/</w:t>
              </w:r>
            </w:hyperlink>
          </w:p>
          <w:p w14:paraId="5EFE134B" w14:textId="77777777" w:rsidR="00577DF7" w:rsidRDefault="00577DF7" w:rsidP="0098207A">
            <w:pPr>
              <w:spacing w:line="360" w:lineRule="auto"/>
              <w:rPr>
                <w:rFonts w:ascii="Arial" w:hAnsi="Arial" w:cs="Arial"/>
              </w:rPr>
            </w:pPr>
          </w:p>
          <w:p w14:paraId="05E85E70" w14:textId="5F3B22B0" w:rsidR="00577DF7" w:rsidRDefault="00577DF7" w:rsidP="002320A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</w:rPr>
            </w:pPr>
            <w:r w:rsidRPr="002320A2">
              <w:rPr>
                <w:rFonts w:ascii="Arial" w:hAnsi="Arial" w:cs="Arial"/>
              </w:rPr>
              <w:t>Identificar puertos y protocolos dentro de la solución, verificando factibilidad en cada infraestructura</w:t>
            </w:r>
            <w:r w:rsidR="002320A2">
              <w:rPr>
                <w:rFonts w:ascii="Arial" w:hAnsi="Arial" w:cs="Arial"/>
              </w:rPr>
              <w:t xml:space="preserve"> y en los posible usar conexiones seguras</w:t>
            </w:r>
            <w:r w:rsidRPr="002320A2">
              <w:rPr>
                <w:rFonts w:ascii="Arial" w:hAnsi="Arial" w:cs="Arial"/>
              </w:rPr>
              <w:t xml:space="preserve">. Ejemplo https, </w:t>
            </w:r>
            <w:proofErr w:type="spellStart"/>
            <w:r w:rsidR="002320A2" w:rsidRPr="002320A2">
              <w:rPr>
                <w:rFonts w:ascii="Arial" w:hAnsi="Arial" w:cs="Arial"/>
              </w:rPr>
              <w:t>mqtt</w:t>
            </w:r>
            <w:proofErr w:type="spellEnd"/>
            <w:r w:rsidR="002320A2" w:rsidRPr="002320A2">
              <w:rPr>
                <w:rFonts w:ascii="Arial" w:hAnsi="Arial" w:cs="Arial"/>
              </w:rPr>
              <w:t xml:space="preserve">, </w:t>
            </w:r>
            <w:proofErr w:type="spellStart"/>
            <w:r w:rsidR="002320A2" w:rsidRPr="002320A2">
              <w:rPr>
                <w:rFonts w:ascii="Arial" w:hAnsi="Arial" w:cs="Arial"/>
              </w:rPr>
              <w:t>amqp</w:t>
            </w:r>
            <w:proofErr w:type="spellEnd"/>
            <w:r w:rsidR="002320A2">
              <w:rPr>
                <w:rFonts w:ascii="Arial" w:hAnsi="Arial" w:cs="Arial"/>
              </w:rPr>
              <w:t xml:space="preserve">, </w:t>
            </w:r>
            <w:proofErr w:type="spellStart"/>
            <w:r w:rsidR="002320A2">
              <w:rPr>
                <w:rFonts w:ascii="Arial" w:hAnsi="Arial" w:cs="Arial"/>
              </w:rPr>
              <w:t>etc</w:t>
            </w:r>
            <w:proofErr w:type="spellEnd"/>
          </w:p>
          <w:p w14:paraId="1B67316B" w14:textId="77777777" w:rsidR="006338A8" w:rsidRPr="006338A8" w:rsidRDefault="006338A8" w:rsidP="006338A8">
            <w:pPr>
              <w:pStyle w:val="ListParagraph"/>
              <w:rPr>
                <w:rFonts w:ascii="Arial" w:hAnsi="Arial" w:cs="Arial"/>
              </w:rPr>
            </w:pPr>
          </w:p>
          <w:p w14:paraId="7AAEB51E" w14:textId="4881CD1C" w:rsidR="006338A8" w:rsidRDefault="006338A8" w:rsidP="002320A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diagrama de de</w:t>
            </w:r>
            <w:r w:rsidR="00C8681F">
              <w:rPr>
                <w:rFonts w:ascii="Arial" w:hAnsi="Arial" w:cs="Arial"/>
              </w:rPr>
              <w:t>pen</w:t>
            </w:r>
            <w:r>
              <w:rPr>
                <w:rFonts w:ascii="Arial" w:hAnsi="Arial" w:cs="Arial"/>
              </w:rPr>
              <w:t>de</w:t>
            </w:r>
            <w:r w:rsidR="00C8681F">
              <w:rPr>
                <w:rFonts w:ascii="Arial" w:hAnsi="Arial" w:cs="Arial"/>
              </w:rPr>
              <w:t>nc</w:t>
            </w:r>
            <w:r>
              <w:rPr>
                <w:rFonts w:ascii="Arial" w:hAnsi="Arial" w:cs="Arial"/>
              </w:rPr>
              <w:t>ia</w:t>
            </w:r>
            <w:r w:rsidR="00C8681F">
              <w:rPr>
                <w:rFonts w:ascii="Arial" w:hAnsi="Arial" w:cs="Arial"/>
              </w:rPr>
              <w:t>s entre microservi</w:t>
            </w:r>
            <w:r w:rsidR="00070D92">
              <w:rPr>
                <w:rFonts w:ascii="Arial" w:hAnsi="Arial" w:cs="Arial"/>
              </w:rPr>
              <w:t>ci</w:t>
            </w:r>
            <w:r w:rsidR="00C8681F">
              <w:rPr>
                <w:rFonts w:ascii="Arial" w:hAnsi="Arial" w:cs="Arial"/>
              </w:rPr>
              <w:t>os.</w:t>
            </w:r>
          </w:p>
          <w:p w14:paraId="2A012B53" w14:textId="77777777" w:rsidR="00C8681F" w:rsidRDefault="00C8681F" w:rsidP="00C8681F">
            <w:pPr>
              <w:pStyle w:val="ListParagraph"/>
              <w:rPr>
                <w:rFonts w:ascii="Arial" w:hAnsi="Arial" w:cs="Arial"/>
              </w:rPr>
            </w:pPr>
          </w:p>
          <w:p w14:paraId="1B92871E" w14:textId="47275B9D" w:rsidR="00C8681F" w:rsidRPr="00C8681F" w:rsidRDefault="00C8681F" w:rsidP="00C8681F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C8681F">
              <w:rPr>
                <w:rFonts w:ascii="Arial" w:hAnsi="Arial" w:cs="Arial"/>
                <w:b/>
                <w:bCs/>
              </w:rPr>
              <w:t>Siguiente Pasos</w:t>
            </w:r>
          </w:p>
          <w:p w14:paraId="3E7BADDA" w14:textId="77777777" w:rsidR="006338A8" w:rsidRPr="006338A8" w:rsidRDefault="006338A8" w:rsidP="006338A8">
            <w:pPr>
              <w:pStyle w:val="ListParagraph"/>
              <w:rPr>
                <w:rFonts w:ascii="Arial" w:hAnsi="Arial" w:cs="Arial"/>
              </w:rPr>
            </w:pPr>
          </w:p>
          <w:p w14:paraId="34C92EF9" w14:textId="35ED50C7" w:rsidR="006338A8" w:rsidRDefault="00C8681F" w:rsidP="006338A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poder continuar con la consultoría a nivel de los microservicios es necesario tener las fechas </w:t>
            </w:r>
            <w:r w:rsidR="00E03979">
              <w:rPr>
                <w:rFonts w:ascii="Arial" w:hAnsi="Arial" w:cs="Arial"/>
              </w:rPr>
              <w:t>de entrega del documento “</w:t>
            </w:r>
            <w:r w:rsidR="006338A8">
              <w:rPr>
                <w:rFonts w:ascii="Arial" w:hAnsi="Arial" w:cs="Arial"/>
              </w:rPr>
              <w:t>Definición técnica</w:t>
            </w:r>
            <w:r w:rsidR="00E03979">
              <w:rPr>
                <w:rFonts w:ascii="Arial" w:hAnsi="Arial" w:cs="Arial"/>
              </w:rPr>
              <w:t xml:space="preserve"> de microservicio”, con el objetivo de poder elaborar el cronograma de trabajo y fechas de los informes. </w:t>
            </w:r>
          </w:p>
          <w:p w14:paraId="6C40A7E6" w14:textId="077618F2" w:rsidR="00E03979" w:rsidRDefault="00E03979" w:rsidP="006338A8">
            <w:pPr>
              <w:spacing w:line="360" w:lineRule="auto"/>
              <w:rPr>
                <w:rFonts w:ascii="Arial" w:hAnsi="Arial" w:cs="Arial"/>
              </w:rPr>
            </w:pPr>
          </w:p>
          <w:p w14:paraId="18667FEA" w14:textId="603316B8" w:rsidR="006338A8" w:rsidRPr="006338A8" w:rsidRDefault="00E03979" w:rsidP="00E0397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Adicional a los documentos, para la revisión de código fuente es necesario tener acceso a los repositorios de GIT. Gestión que se puede ir avanzando.</w:t>
            </w:r>
          </w:p>
        </w:tc>
      </w:tr>
    </w:tbl>
    <w:p w14:paraId="2A35760B" w14:textId="22FB8030" w:rsidR="004E7F22" w:rsidRDefault="004E7F22"/>
    <w:p w14:paraId="25718822" w14:textId="0F8039E6" w:rsidR="00E03979" w:rsidRDefault="00E03979"/>
    <w:p w14:paraId="4539F336" w14:textId="5B344378" w:rsidR="00E03979" w:rsidRDefault="00E03979"/>
    <w:p w14:paraId="7F0D3F29" w14:textId="3A3D0FAA" w:rsidR="00E03979" w:rsidRDefault="00E03979"/>
    <w:p w14:paraId="538ECBB1" w14:textId="28292476" w:rsidR="00E03979" w:rsidRDefault="00E03979"/>
    <w:p w14:paraId="4D689091" w14:textId="77777777" w:rsidR="00E03979" w:rsidRDefault="00E03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C3224" w14:paraId="128CE12D" w14:textId="77777777" w:rsidTr="003C3224">
        <w:tc>
          <w:tcPr>
            <w:tcW w:w="8644" w:type="dxa"/>
            <w:shd w:val="clear" w:color="auto" w:fill="B8CCE4" w:themeFill="accent1" w:themeFillTint="66"/>
          </w:tcPr>
          <w:p w14:paraId="021FA1C0" w14:textId="77777777" w:rsidR="003C3224" w:rsidRPr="003C3224" w:rsidRDefault="003C3224" w:rsidP="003C3224">
            <w:pPr>
              <w:jc w:val="center"/>
              <w:rPr>
                <w:b/>
              </w:rPr>
            </w:pPr>
            <w:r w:rsidRPr="003C3224">
              <w:rPr>
                <w:b/>
              </w:rPr>
              <w:lastRenderedPageBreak/>
              <w:t>Firmas</w:t>
            </w:r>
          </w:p>
        </w:tc>
      </w:tr>
      <w:tr w:rsidR="003C3224" w14:paraId="033BD0E0" w14:textId="77777777" w:rsidTr="00751A2D">
        <w:tc>
          <w:tcPr>
            <w:tcW w:w="8644" w:type="dxa"/>
          </w:tcPr>
          <w:p w14:paraId="41A72516" w14:textId="0960FF89" w:rsidR="003C3224" w:rsidRDefault="003C3224">
            <w:r>
              <w:t>En constancia de lo anterior s</w:t>
            </w:r>
            <w:r w:rsidR="00CF66D3">
              <w:t>e</w:t>
            </w:r>
            <w:r>
              <w:t xml:space="preserve"> firma la siguiente acta:</w:t>
            </w:r>
          </w:p>
          <w:p w14:paraId="44468E24" w14:textId="77777777" w:rsidR="003C3224" w:rsidRDefault="003C3224"/>
          <w:p w14:paraId="61C7CA0D" w14:textId="77777777" w:rsidR="003C3224" w:rsidRDefault="003C3224"/>
          <w:p w14:paraId="489F3FCC" w14:textId="77777777" w:rsidR="003C3224" w:rsidRDefault="003C3224"/>
          <w:p w14:paraId="205F3E3E" w14:textId="77777777" w:rsidR="003C3224" w:rsidRDefault="003C3224"/>
          <w:p w14:paraId="00E38ECB" w14:textId="77777777" w:rsidR="003C3224" w:rsidRDefault="003C3224"/>
          <w:p w14:paraId="34E9B30D" w14:textId="77777777" w:rsidR="003C3224" w:rsidRDefault="003C3224"/>
          <w:p w14:paraId="0486C122" w14:textId="4723B9D8" w:rsidR="003C3224" w:rsidRDefault="00CF66D3">
            <w:r>
              <w:t xml:space="preserve">      </w:t>
            </w:r>
            <w:r w:rsidR="003C3224">
              <w:t xml:space="preserve">---------------------------------------                                               </w:t>
            </w:r>
            <w:r w:rsidR="00EC7149">
              <w:t xml:space="preserve"> </w:t>
            </w:r>
            <w:r w:rsidR="003C3224">
              <w:t>--------------------------------------</w:t>
            </w:r>
          </w:p>
          <w:p w14:paraId="40ABF84D" w14:textId="7266C870" w:rsidR="003C3224" w:rsidRDefault="00EC7149">
            <w:r>
              <w:t xml:space="preserve">      </w:t>
            </w:r>
            <w:r w:rsidR="00CF66D3">
              <w:t xml:space="preserve">      </w:t>
            </w:r>
            <w:r>
              <w:t xml:space="preserve">    </w:t>
            </w:r>
            <w:r w:rsidR="005C5E41">
              <w:t>Darío</w:t>
            </w:r>
            <w:r w:rsidR="00754CD6">
              <w:t xml:space="preserve"> Barco      </w:t>
            </w:r>
            <w:r w:rsidR="003C3224">
              <w:t xml:space="preserve">                                                                          </w:t>
            </w:r>
            <w:proofErr w:type="spellStart"/>
            <w:r w:rsidR="003C3224">
              <w:t>Liennys</w:t>
            </w:r>
            <w:proofErr w:type="spellEnd"/>
            <w:r w:rsidR="003C3224">
              <w:t xml:space="preserve"> </w:t>
            </w:r>
            <w:r w:rsidR="007B7BF6">
              <w:t>González</w:t>
            </w:r>
          </w:p>
          <w:p w14:paraId="206173FC" w14:textId="0DF7EC42" w:rsidR="003C3224" w:rsidRDefault="00EC7149" w:rsidP="003C3224">
            <w:r>
              <w:t xml:space="preserve">          </w:t>
            </w:r>
            <w:r w:rsidR="00CF66D3">
              <w:t xml:space="preserve">      </w:t>
            </w:r>
            <w:r w:rsidR="003C3224">
              <w:t>Gerente de proyecto                                                                Gerente de proyecto</w:t>
            </w:r>
          </w:p>
          <w:p w14:paraId="55AB49C9" w14:textId="4DFC652B" w:rsidR="003C3224" w:rsidRDefault="00EC7149">
            <w:r>
              <w:t xml:space="preserve">          </w:t>
            </w:r>
            <w:r w:rsidR="00CF66D3">
              <w:t xml:space="preserve">      </w:t>
            </w:r>
            <w:r>
              <w:t xml:space="preserve">Banco </w:t>
            </w:r>
            <w:r w:rsidR="005C5E41">
              <w:t>Bolivariano</w:t>
            </w:r>
            <w:r w:rsidR="003C3224">
              <w:t xml:space="preserve">                                                                      SOAINT</w:t>
            </w:r>
          </w:p>
          <w:p w14:paraId="273A898D" w14:textId="77777777" w:rsidR="003C3224" w:rsidRDefault="003C3224"/>
          <w:p w14:paraId="0BBB9E6C" w14:textId="77777777" w:rsidR="003C3224" w:rsidRDefault="003C3224"/>
          <w:p w14:paraId="37B9518D" w14:textId="77777777" w:rsidR="003C3224" w:rsidRDefault="003C3224"/>
          <w:p w14:paraId="5B7A7087" w14:textId="77777777" w:rsidR="003C3224" w:rsidRDefault="003C3224"/>
        </w:tc>
      </w:tr>
    </w:tbl>
    <w:p w14:paraId="28C8CF15" w14:textId="77777777" w:rsidR="004E7F22" w:rsidRDefault="004E7F22"/>
    <w:sectPr w:rsidR="004E7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649"/>
    <w:multiLevelType w:val="hybridMultilevel"/>
    <w:tmpl w:val="7E889A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45A0"/>
    <w:multiLevelType w:val="hybridMultilevel"/>
    <w:tmpl w:val="A4E6A90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E0797"/>
    <w:multiLevelType w:val="hybridMultilevel"/>
    <w:tmpl w:val="989AF3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7067C"/>
    <w:multiLevelType w:val="hybridMultilevel"/>
    <w:tmpl w:val="FF226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21FB8"/>
    <w:multiLevelType w:val="hybridMultilevel"/>
    <w:tmpl w:val="303A97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15D27"/>
    <w:multiLevelType w:val="hybridMultilevel"/>
    <w:tmpl w:val="63AAF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32778"/>
    <w:multiLevelType w:val="hybridMultilevel"/>
    <w:tmpl w:val="A9D2811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04CA1"/>
    <w:multiLevelType w:val="hybridMultilevel"/>
    <w:tmpl w:val="13D427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74671"/>
    <w:multiLevelType w:val="hybridMultilevel"/>
    <w:tmpl w:val="1D1C3C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574E9"/>
    <w:multiLevelType w:val="hybridMultilevel"/>
    <w:tmpl w:val="ACD86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603F6"/>
    <w:multiLevelType w:val="hybridMultilevel"/>
    <w:tmpl w:val="5518E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F72C1"/>
    <w:multiLevelType w:val="hybridMultilevel"/>
    <w:tmpl w:val="4E325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438CF"/>
    <w:multiLevelType w:val="hybridMultilevel"/>
    <w:tmpl w:val="3CB0A3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02D1C"/>
    <w:multiLevelType w:val="hybridMultilevel"/>
    <w:tmpl w:val="9B5476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838706">
    <w:abstractNumId w:val="9"/>
  </w:num>
  <w:num w:numId="2" w16cid:durableId="1076048000">
    <w:abstractNumId w:val="0"/>
  </w:num>
  <w:num w:numId="3" w16cid:durableId="1899631822">
    <w:abstractNumId w:val="4"/>
  </w:num>
  <w:num w:numId="4" w16cid:durableId="197592470">
    <w:abstractNumId w:val="12"/>
  </w:num>
  <w:num w:numId="5" w16cid:durableId="346903291">
    <w:abstractNumId w:val="6"/>
  </w:num>
  <w:num w:numId="6" w16cid:durableId="1452092736">
    <w:abstractNumId w:val="2"/>
  </w:num>
  <w:num w:numId="7" w16cid:durableId="739525022">
    <w:abstractNumId w:val="13"/>
  </w:num>
  <w:num w:numId="8" w16cid:durableId="1339886414">
    <w:abstractNumId w:val="1"/>
  </w:num>
  <w:num w:numId="9" w16cid:durableId="511146252">
    <w:abstractNumId w:val="7"/>
  </w:num>
  <w:num w:numId="10" w16cid:durableId="1703166837">
    <w:abstractNumId w:val="5"/>
  </w:num>
  <w:num w:numId="11" w16cid:durableId="2040544242">
    <w:abstractNumId w:val="11"/>
  </w:num>
  <w:num w:numId="12" w16cid:durableId="523248479">
    <w:abstractNumId w:val="8"/>
  </w:num>
  <w:num w:numId="13" w16cid:durableId="261883879">
    <w:abstractNumId w:val="10"/>
  </w:num>
  <w:num w:numId="14" w16cid:durableId="1670670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22A"/>
    <w:rsid w:val="00030267"/>
    <w:rsid w:val="00070D92"/>
    <w:rsid w:val="00164E97"/>
    <w:rsid w:val="001939F2"/>
    <w:rsid w:val="002320A2"/>
    <w:rsid w:val="002376D2"/>
    <w:rsid w:val="00261971"/>
    <w:rsid w:val="002D4940"/>
    <w:rsid w:val="00334E6D"/>
    <w:rsid w:val="0036322A"/>
    <w:rsid w:val="003C3224"/>
    <w:rsid w:val="004E7F22"/>
    <w:rsid w:val="004F1826"/>
    <w:rsid w:val="00577DF7"/>
    <w:rsid w:val="005C5E41"/>
    <w:rsid w:val="006338A8"/>
    <w:rsid w:val="0065552E"/>
    <w:rsid w:val="006A2E40"/>
    <w:rsid w:val="00754CD6"/>
    <w:rsid w:val="007B7BF6"/>
    <w:rsid w:val="007C4CC8"/>
    <w:rsid w:val="007D2145"/>
    <w:rsid w:val="007E1451"/>
    <w:rsid w:val="0098207A"/>
    <w:rsid w:val="00A70740"/>
    <w:rsid w:val="00AC66B6"/>
    <w:rsid w:val="00AC6AF5"/>
    <w:rsid w:val="00B0770F"/>
    <w:rsid w:val="00B473D5"/>
    <w:rsid w:val="00C8681F"/>
    <w:rsid w:val="00C86967"/>
    <w:rsid w:val="00CF33DD"/>
    <w:rsid w:val="00CF66D3"/>
    <w:rsid w:val="00CF7E82"/>
    <w:rsid w:val="00D01CBC"/>
    <w:rsid w:val="00DD299E"/>
    <w:rsid w:val="00E03979"/>
    <w:rsid w:val="00E575D7"/>
    <w:rsid w:val="00E61CE6"/>
    <w:rsid w:val="00EB453F"/>
    <w:rsid w:val="00EC7149"/>
    <w:rsid w:val="00F06630"/>
    <w:rsid w:val="00FC49B1"/>
    <w:rsid w:val="00FD7942"/>
    <w:rsid w:val="00FE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6BED"/>
  <w15:docId w15:val="{D2FF796A-908D-4A2B-9184-1AD564CA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32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E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7D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factor.net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D38F9-DB79-4CE2-813C-8CAED9671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527</Words>
  <Characters>2901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Christian Cedeño</cp:lastModifiedBy>
  <cp:revision>25</cp:revision>
  <dcterms:created xsi:type="dcterms:W3CDTF">2021-03-03T20:39:00Z</dcterms:created>
  <dcterms:modified xsi:type="dcterms:W3CDTF">2022-05-18T21:41:00Z</dcterms:modified>
</cp:coreProperties>
</file>