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24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Noviembre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E90A43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24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Noviembre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E90A43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 w:rsidR="00A22EF6"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E90A43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23:00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</w:t>
            </w:r>
            <w:r w:rsidR="00E90A43">
              <w:rPr>
                <w:rFonts w:ascii="Arial" w:hAnsi="Arial" w:cs="Arial"/>
                <w:b/>
                <w:sz w:val="18"/>
                <w:szCs w:val="18"/>
                <w:lang w:val="es-EC"/>
              </w:rPr>
              <w:t>REC-ANT</w:t>
            </w:r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 w:rsidR="00E90A43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ant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E90A4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ant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empresas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 w:rsidR="00E90A4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ant</w:t>
            </w:r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E90A4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 w:rsidR="00E90A4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ant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E90A4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rec-ant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E90A4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rec-ant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9D4CEA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 w:rsidR="00E90A4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rec-ant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:v.1.0.0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 w:rsidR="00E90A4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rec-ant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 w:rsidR="00E90A4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rec-ant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recaudos</w:t>
            </w:r>
            <w:r w:rsidR="00656554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  <w:proofErr w:type="spellEnd"/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E90A4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rec-ant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E90A4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rec-ant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</w:t>
            </w:r>
            <w:bookmarkStart w:id="0" w:name="_GoBack"/>
            <w:bookmarkEnd w:id="0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656554" w:rsidRDefault="00E90A43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rec-ant</w:t>
            </w:r>
            <w:r w:rsidR="00FC52A4" w:rsidRPr="00656554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FC52A4" w:rsidRPr="00656554">
              <w:rPr>
                <w:rFonts w:asciiTheme="minorHAnsi" w:hAnsiTheme="minorHAnsi"/>
                <w:sz w:val="22"/>
                <w:lang w:val="en-US"/>
              </w:rPr>
              <w:t>bv</w:t>
            </w:r>
            <w:proofErr w:type="spellEnd"/>
            <w:r w:rsidR="00FC52A4" w:rsidRPr="00656554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FC52A4" w:rsidRPr="00656554">
              <w:rPr>
                <w:rFonts w:asciiTheme="minorHAnsi" w:hAnsiTheme="minorHAnsi"/>
                <w:sz w:val="22"/>
                <w:lang w:val="en-US"/>
              </w:rPr>
              <w:t>dc.yaml</w:t>
            </w:r>
            <w:proofErr w:type="spellEnd"/>
          </w:p>
          <w:p w:rsidR="00E619EB" w:rsidRPr="00656554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E90A4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rec-ant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Default="00E90A43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>
              <w:rPr>
                <w:rFonts w:asciiTheme="minorHAnsi" w:hAnsiTheme="minorHAnsi"/>
                <w:sz w:val="22"/>
                <w:lang w:val="en-US"/>
              </w:rPr>
              <w:t>rec-ant</w:t>
            </w:r>
            <w:r w:rsidR="00E619EB"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bv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>svc.yaml</w:t>
            </w:r>
            <w:proofErr w:type="spellEnd"/>
            <w:r w:rsidR="00E619EB" w:rsidRPr="00E619EB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</w:p>
          <w:p w:rsidR="00443CA4" w:rsidRPr="00F02C32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F02C32" w:rsidRDefault="00443CA4" w:rsidP="00A81FD9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56554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76EE1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0A43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520F4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F9151E-27BF-4756-BCA9-791A9896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5</Pages>
  <Words>600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3893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37</cp:revision>
  <cp:lastPrinted>2001-04-05T22:02:00Z</cp:lastPrinted>
  <dcterms:created xsi:type="dcterms:W3CDTF">2021-07-29T15:54:00Z</dcterms:created>
  <dcterms:modified xsi:type="dcterms:W3CDTF">2022-11-23T21:30:00Z</dcterms:modified>
</cp:coreProperties>
</file>