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9A25" w14:textId="08BB67CA" w:rsidR="00072669" w:rsidRDefault="00072669" w:rsidP="008656C5">
      <w:pPr>
        <w:pStyle w:val="Corpsdetexte"/>
      </w:pPr>
      <w:bookmarkStart w:id="0" w:name="_Hlk38844842"/>
    </w:p>
    <w:p w14:paraId="18895AB8" w14:textId="6869F960" w:rsidR="00BA0182" w:rsidRDefault="00BA0182" w:rsidP="008656C5">
      <w:pPr>
        <w:pStyle w:val="Corpsdetexte"/>
      </w:pPr>
    </w:p>
    <w:p w14:paraId="4490CDA0" w14:textId="77777777" w:rsidR="00BA0182" w:rsidRDefault="00BA0182" w:rsidP="008656C5">
      <w:pPr>
        <w:pStyle w:val="Corpsdetexte"/>
      </w:pPr>
    </w:p>
    <w:p w14:paraId="5FB44273" w14:textId="77777777" w:rsidR="00072669" w:rsidRDefault="00072669" w:rsidP="008656C5">
      <w:pPr>
        <w:pStyle w:val="Corpsdetexte"/>
      </w:pPr>
    </w:p>
    <w:p w14:paraId="21661AC8" w14:textId="77777777" w:rsidR="00072669" w:rsidRDefault="00072669" w:rsidP="00072669">
      <w:pPr>
        <w:pStyle w:val="Titre"/>
      </w:pPr>
      <w:r>
        <w:t xml:space="preserve">Cours de </w:t>
      </w:r>
      <w:r w:rsidRPr="001C6776">
        <w:t>résidanat</w:t>
      </w:r>
      <w:r>
        <w:t xml:space="preserve"> </w:t>
      </w:r>
    </w:p>
    <w:p w14:paraId="651E3ECC" w14:textId="77777777" w:rsidR="00072669" w:rsidRDefault="00072669" w:rsidP="00072669">
      <w:pPr>
        <w:pStyle w:val="Titre"/>
      </w:pPr>
      <w:r>
        <w:t>Sujet : 12</w:t>
      </w:r>
    </w:p>
    <w:p w14:paraId="545C17A3" w14:textId="77777777" w:rsidR="00072669" w:rsidRDefault="00072669" w:rsidP="00072669">
      <w:pPr>
        <w:pStyle w:val="Titre"/>
      </w:pPr>
      <w:r>
        <w:t>Cancer du cavum</w:t>
      </w:r>
    </w:p>
    <w:p w14:paraId="6C03A7E5" w14:textId="77777777" w:rsidR="00072669" w:rsidRPr="001C6776" w:rsidRDefault="00072669" w:rsidP="00072669">
      <w:pPr>
        <w:pStyle w:val="Titre"/>
        <w:rPr>
          <w:sz w:val="20"/>
          <w:szCs w:val="20"/>
        </w:rPr>
      </w:pPr>
      <w:r w:rsidRPr="001C6776">
        <w:rPr>
          <w:sz w:val="20"/>
          <w:szCs w:val="20"/>
        </w:rPr>
        <w:t>Etiopathogénie, Diagnostic, Orientations Thérapeutiques</w:t>
      </w:r>
    </w:p>
    <w:p w14:paraId="634CFAAB" w14:textId="77777777" w:rsidR="00072669" w:rsidRDefault="00072669" w:rsidP="008656C5">
      <w:pPr>
        <w:pStyle w:val="Corpsdetexte"/>
      </w:pPr>
    </w:p>
    <w:p w14:paraId="1B396357" w14:textId="022D4AF2" w:rsidR="00072669" w:rsidRDefault="00072669" w:rsidP="008656C5">
      <w:pPr>
        <w:pStyle w:val="Corpsdetexte"/>
      </w:pPr>
    </w:p>
    <w:p w14:paraId="1EA0D4E5" w14:textId="1B142AC4" w:rsidR="00BA0182" w:rsidRDefault="00BA0182" w:rsidP="008656C5">
      <w:pPr>
        <w:pStyle w:val="Corpsdetexte"/>
      </w:pPr>
    </w:p>
    <w:p w14:paraId="6FB955F3" w14:textId="77777777" w:rsidR="00BA0182" w:rsidRDefault="00BA0182" w:rsidP="008656C5">
      <w:pPr>
        <w:pStyle w:val="Corpsdetexte"/>
      </w:pPr>
    </w:p>
    <w:p w14:paraId="03A4C5B2" w14:textId="77777777" w:rsidR="00072669" w:rsidRDefault="00072669" w:rsidP="008656C5">
      <w:pPr>
        <w:pStyle w:val="bodystrong"/>
      </w:pPr>
      <w:r>
        <w:t>Objectifs</w:t>
      </w:r>
    </w:p>
    <w:p w14:paraId="6340DCE8" w14:textId="77777777" w:rsidR="00072669" w:rsidRDefault="00072669" w:rsidP="008656C5">
      <w:pPr>
        <w:pStyle w:val="Corpsdetexte"/>
      </w:pPr>
    </w:p>
    <w:p w14:paraId="4A67A6AB" w14:textId="77777777" w:rsidR="00072669" w:rsidRPr="001C6776" w:rsidRDefault="00072669" w:rsidP="00072669">
      <w:pPr>
        <w:pStyle w:val="objlist"/>
        <w:spacing w:line="360" w:lineRule="auto"/>
        <w:ind w:left="142"/>
      </w:pPr>
      <w:r w:rsidRPr="001C6776">
        <w:t>Identifier les rapports anatomiques du cavum et ses relais de drainage lymphatique.</w:t>
      </w:r>
    </w:p>
    <w:p w14:paraId="0571C7AA" w14:textId="77777777" w:rsidR="00072669" w:rsidRPr="001C6776" w:rsidRDefault="00072669" w:rsidP="00072669">
      <w:pPr>
        <w:pStyle w:val="objlist"/>
        <w:spacing w:line="360" w:lineRule="auto"/>
        <w:ind w:left="142"/>
      </w:pPr>
      <w:r w:rsidRPr="001C6776">
        <w:t>Décrire les particularités épidémiologiques du cancer du cavum.</w:t>
      </w:r>
    </w:p>
    <w:p w14:paraId="79057A8E" w14:textId="77777777" w:rsidR="00072669" w:rsidRPr="001C6776" w:rsidRDefault="00072669" w:rsidP="00072669">
      <w:pPr>
        <w:pStyle w:val="objlist"/>
        <w:spacing w:line="360" w:lineRule="auto"/>
        <w:ind w:left="142"/>
      </w:pPr>
      <w:r w:rsidRPr="001C6776">
        <w:t>Décrire les aspects anatomopathologiques du cancer du cavum.</w:t>
      </w:r>
    </w:p>
    <w:p w14:paraId="623B8375" w14:textId="77777777" w:rsidR="00072669" w:rsidRPr="001C6776" w:rsidRDefault="00072669" w:rsidP="00072669">
      <w:pPr>
        <w:pStyle w:val="objlist"/>
        <w:spacing w:line="360" w:lineRule="auto"/>
        <w:ind w:left="142"/>
      </w:pPr>
      <w:r w:rsidRPr="001C6776">
        <w:t>Décrire les facteurs étiologiques du cancer du cavum.</w:t>
      </w:r>
    </w:p>
    <w:p w14:paraId="202F12AC" w14:textId="77777777" w:rsidR="00072669" w:rsidRPr="001C6776" w:rsidRDefault="00072669" w:rsidP="00072669">
      <w:pPr>
        <w:pStyle w:val="objlist"/>
        <w:spacing w:line="360" w:lineRule="auto"/>
        <w:ind w:left="142"/>
      </w:pPr>
      <w:r w:rsidRPr="001C6776">
        <w:t>Reconnaître à l’examen clinique les signes d’appel d’un cancer du cavum.</w:t>
      </w:r>
    </w:p>
    <w:p w14:paraId="48EC0AEE" w14:textId="77777777" w:rsidR="00072669" w:rsidRPr="001C6776" w:rsidRDefault="00072669" w:rsidP="00072669">
      <w:pPr>
        <w:pStyle w:val="objlist"/>
        <w:spacing w:line="360" w:lineRule="auto"/>
        <w:ind w:left="142"/>
      </w:pPr>
      <w:r w:rsidRPr="001C6776">
        <w:t>Etablir le diagnostic positif d’un cancer du cavum.</w:t>
      </w:r>
    </w:p>
    <w:p w14:paraId="226C1A04" w14:textId="77777777" w:rsidR="00072669" w:rsidRPr="001C6776" w:rsidRDefault="00072669" w:rsidP="00072669">
      <w:pPr>
        <w:pStyle w:val="objlist"/>
        <w:spacing w:line="360" w:lineRule="auto"/>
        <w:ind w:left="142"/>
      </w:pPr>
      <w:r w:rsidRPr="001C6776">
        <w:t>Etablir, à partir du bilan d’extension clinique et paraclinique la classification TNM du cancer du cavum.</w:t>
      </w:r>
    </w:p>
    <w:p w14:paraId="282EBEDB" w14:textId="77777777" w:rsidR="00072669" w:rsidRPr="001C6776" w:rsidRDefault="00072669" w:rsidP="00072669">
      <w:pPr>
        <w:pStyle w:val="objlist"/>
        <w:spacing w:line="360" w:lineRule="auto"/>
        <w:ind w:left="142"/>
      </w:pPr>
      <w:r w:rsidRPr="001C6776">
        <w:t>Réunir les éléments cliniques et paracliniques permettant d’évaluer le pronostic du cancer du cavum.</w:t>
      </w:r>
    </w:p>
    <w:p w14:paraId="245CA244" w14:textId="09716372" w:rsidR="00072669" w:rsidRPr="001C6776" w:rsidRDefault="00072669" w:rsidP="00072669">
      <w:pPr>
        <w:pStyle w:val="objlist"/>
        <w:spacing w:line="360" w:lineRule="auto"/>
        <w:ind w:left="142"/>
      </w:pPr>
      <w:r w:rsidRPr="001C6776">
        <w:t>Préciser les moyens thérapeutiques et leurs indications dans le cancer du cavum.</w:t>
      </w:r>
    </w:p>
    <w:p w14:paraId="10C9C1DB" w14:textId="14732FFC" w:rsidR="00072669" w:rsidRPr="001C6776" w:rsidRDefault="00072669" w:rsidP="00072669">
      <w:pPr>
        <w:pStyle w:val="objlist"/>
        <w:spacing w:line="360" w:lineRule="auto"/>
        <w:ind w:left="142"/>
      </w:pPr>
      <w:r w:rsidRPr="001C6776">
        <w:t>Planifier la surveillance clinique et paraclinique d’un patient traité pour cancer du cavum.</w:t>
      </w:r>
    </w:p>
    <w:p w14:paraId="271E960C" w14:textId="2B6D564C" w:rsidR="00072669" w:rsidRDefault="00072669" w:rsidP="008656C5">
      <w:pPr>
        <w:pStyle w:val="Corpsdetexte"/>
      </w:pPr>
    </w:p>
    <w:p w14:paraId="5B6F19A2" w14:textId="0720005B" w:rsidR="00072669" w:rsidRDefault="00072669" w:rsidP="008656C5">
      <w:pPr>
        <w:pStyle w:val="Corpsdetexte"/>
      </w:pPr>
    </w:p>
    <w:p w14:paraId="50373C6F" w14:textId="5E7B02F1" w:rsidR="00072669" w:rsidRDefault="006F5DE4" w:rsidP="00072669">
      <w:pPr>
        <w:widowControl/>
        <w:autoSpaceDE/>
        <w:autoSpaceDN/>
        <w:adjustRightInd/>
        <w:spacing w:after="160" w:line="259" w:lineRule="auto"/>
        <w:rPr>
          <w:sz w:val="17"/>
          <w:szCs w:val="24"/>
        </w:rPr>
      </w:pPr>
      <w:r>
        <w:rPr>
          <w:rFonts w:cs="Times New Roman"/>
          <w:noProof/>
          <w:szCs w:val="24"/>
          <w:lang w:val="en-US" w:eastAsia="en-US"/>
        </w:rPr>
        <mc:AlternateContent>
          <mc:Choice Requires="wps">
            <w:drawing>
              <wp:anchor distT="45720" distB="45720" distL="114300" distR="114300" simplePos="0" relativeHeight="251663360" behindDoc="0" locked="0" layoutInCell="1" allowOverlap="1" wp14:anchorId="39C70B2F" wp14:editId="38ECA50D">
                <wp:simplePos x="0" y="0"/>
                <wp:positionH relativeFrom="margin">
                  <wp:posOffset>971550</wp:posOffset>
                </wp:positionH>
                <wp:positionV relativeFrom="paragraph">
                  <wp:posOffset>1625812</wp:posOffset>
                </wp:positionV>
                <wp:extent cx="4338955" cy="321945"/>
                <wp:effectExtent l="0" t="0" r="0" b="1905"/>
                <wp:wrapNone/>
                <wp:docPr id="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321945"/>
                        </a:xfrm>
                        <a:prstGeom prst="rect">
                          <a:avLst/>
                        </a:prstGeom>
                        <a:noFill/>
                        <a:ln w="9525">
                          <a:noFill/>
                          <a:miter lim="800000"/>
                          <a:headEnd/>
                          <a:tailEnd/>
                        </a:ln>
                      </wps:spPr>
                      <wps:txbx>
                        <w:txbxContent>
                          <w:p w14:paraId="2404DBAC" w14:textId="77777777" w:rsidR="006F5DE4" w:rsidRDefault="006F5DE4" w:rsidP="006F5DE4">
                            <w:pPr>
                              <w:jc w:val="center"/>
                              <w:rPr>
                                <w:rFonts w:ascii="Poppins" w:hAnsi="Poppins" w:cs="Poppins"/>
                                <w:color w:val="FF0000"/>
                              </w:rPr>
                            </w:pPr>
                            <w:r>
                              <w:rPr>
                                <w:rFonts w:ascii="Poppins" w:hAnsi="Poppins" w:cs="Poppins"/>
                                <w:color w:val="FF0000"/>
                              </w:rPr>
                              <w:t>* version remise en page par QCMed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C70B2F" id="_x0000_t202" coordsize="21600,21600" o:spt="202" path="m,l,21600r21600,l21600,xe">
                <v:stroke joinstyle="miter"/>
                <v:path gradientshapeok="t" o:connecttype="rect"/>
              </v:shapetype>
              <v:shape id="Zone de texte 2" o:spid="_x0000_s1026" type="#_x0000_t202" style="position:absolute;margin-left:76.5pt;margin-top:128pt;width:341.65pt;height:25.3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" filled="f" stroked="f">
                <v:textbox>
                  <w:txbxContent>
                    <w:p w14:paraId="2404DBAC" w14:textId="77777777" w:rsidR="006F5DE4" w:rsidRDefault="006F5DE4" w:rsidP="006F5DE4">
                      <w:pPr>
                        <w:jc w:val="center"/>
                        <w:rPr>
                          <w:rFonts w:ascii="Poppins" w:hAnsi="Poppins" w:cs="Poppins"/>
                          <w:color w:val="FF0000"/>
                        </w:rPr>
                      </w:pPr>
                      <w:r>
                        <w:rPr>
                          <w:rFonts w:ascii="Poppins" w:hAnsi="Poppins" w:cs="Poppins"/>
                          <w:color w:val="FF0000"/>
                        </w:rPr>
                        <w:t>* version remise en page par QCMed *</w:t>
                      </w:r>
                    </w:p>
                  </w:txbxContent>
                </v:textbox>
                <w10:wrap anchorx="margin"/>
              </v:shape>
            </w:pict>
          </mc:Fallback>
        </mc:AlternateContent>
      </w:r>
      <w:r w:rsidR="00072669">
        <w:rPr>
          <w:sz w:val="17"/>
        </w:rPr>
        <w:br w:type="page"/>
      </w:r>
    </w:p>
    <w:p w14:paraId="72164D55" w14:textId="77777777" w:rsidR="00072669" w:rsidRDefault="00072669" w:rsidP="00072669">
      <w:pPr>
        <w:pStyle w:val="Titre1"/>
        <w:numPr>
          <w:ilvl w:val="0"/>
          <w:numId w:val="0"/>
        </w:numPr>
        <w:ind w:left="432"/>
      </w:pPr>
      <w:r w:rsidRPr="00A77D6A">
        <w:lastRenderedPageBreak/>
        <w:t>Introduction</w:t>
      </w:r>
    </w:p>
    <w:p w14:paraId="343EBECA" w14:textId="2F5F58E6" w:rsidR="007B40A1" w:rsidRDefault="007B40A1" w:rsidP="00A92B54">
      <w:pPr>
        <w:pStyle w:val="listeespace"/>
      </w:pPr>
      <w:r>
        <w:t xml:space="preserve">Le cancer du nasopharynx ou </w:t>
      </w:r>
      <w:r w:rsidR="00A92B54">
        <w:t>cavum</w:t>
      </w:r>
      <w:r>
        <w:t xml:space="preserve"> (CNP) est fréquent en Tunisie puisqu’il occupe la deuxième place des cancers des</w:t>
      </w:r>
      <w:r w:rsidR="00904FA9">
        <w:t xml:space="preserve"> </w:t>
      </w:r>
      <w:r>
        <w:t>VADS après le cancer du larynx. Il a une place à part dans l’ensemble des cancers des VADS du fait de sa distribution géographique particulière</w:t>
      </w:r>
      <w:r w:rsidR="00A92B54">
        <w:t>, de son étiopathogenie différente des autres cancers des VADS</w:t>
      </w:r>
      <w:r>
        <w:t xml:space="preserve">et de sa relative fréquence chez le sujet jeune. </w:t>
      </w:r>
    </w:p>
    <w:p w14:paraId="3F2AB168" w14:textId="74246B8C" w:rsidR="007B40A1" w:rsidRPr="00436D0C" w:rsidRDefault="007B40A1" w:rsidP="00436D0C">
      <w:pPr>
        <w:pStyle w:val="listeespace"/>
      </w:pPr>
      <w:r w:rsidRPr="00436D0C">
        <w:t>Le type histologique le plus fréquent est représenté par le carcinome épidermoïde non kératinisant dont le prototype correspond au carcinome indifférencié de type nasopharyngé connu par l’usage sous l’acronyme UCNT (</w:t>
      </w:r>
      <w:r w:rsidRPr="00436D0C">
        <w:rPr>
          <w:i/>
          <w:iCs/>
        </w:rPr>
        <w:t>Undifferentiated Carcinoma of Nasopharyngeal Type</w:t>
      </w:r>
      <w:r w:rsidRPr="00436D0C">
        <w:t>) qui est en étroite liaison avec l’infection par le virus Epstein Barr (EBV).</w:t>
      </w:r>
    </w:p>
    <w:p w14:paraId="63E4AA69" w14:textId="77777777" w:rsidR="007B40A1" w:rsidRDefault="007B40A1" w:rsidP="007B40A1">
      <w:pPr>
        <w:pStyle w:val="listeespace"/>
      </w:pPr>
      <w:r>
        <w:t>La situation profonde du nasopharynx, son accès difficile à l’examen physique, ainsi que la symptomatologie d’emprunt de son cancer, souvent trompeuse car liée à l’envahissement des structures avoisinantes, expliquent les difficultés diagnostiques.</w:t>
      </w:r>
    </w:p>
    <w:p w14:paraId="566A70DC" w14:textId="77777777" w:rsidR="007B40A1" w:rsidRDefault="007B40A1" w:rsidP="007B40A1">
      <w:pPr>
        <w:pStyle w:val="listeespace"/>
      </w:pPr>
      <w:r>
        <w:t>La prise en charge du cancer du cavum a largement bénéficié de l’apport de l’endoscopie nasopharyngée et de l’imagerie qui ont permis un diagnostic précoce et un bilan d’extension précis.</w:t>
      </w:r>
    </w:p>
    <w:p w14:paraId="1663F4A3" w14:textId="4C788548" w:rsidR="00072669" w:rsidRDefault="007B40A1" w:rsidP="007B40A1">
      <w:pPr>
        <w:pStyle w:val="listeespace"/>
      </w:pPr>
      <w:r>
        <w:t>Ce cancer présente un taux élevé de métastases ganglionnaires et viscérales, ce qui explique une partie des échecs thérapeutiques malgré une radiosensibilité marquée.</w:t>
      </w:r>
      <w:r w:rsidR="00072669">
        <w:t>.</w:t>
      </w:r>
    </w:p>
    <w:p w14:paraId="13ACD660" w14:textId="31C17F98" w:rsidR="00072669" w:rsidRDefault="00072669" w:rsidP="008656C5">
      <w:pPr>
        <w:pStyle w:val="Corpsdetexte"/>
      </w:pPr>
    </w:p>
    <w:p w14:paraId="6748BDB0" w14:textId="77777777" w:rsidR="001C297D" w:rsidRDefault="001C297D" w:rsidP="008656C5">
      <w:pPr>
        <w:pStyle w:val="Corpsdetexte"/>
      </w:pPr>
    </w:p>
    <w:p w14:paraId="68A8ED73" w14:textId="162D382D" w:rsidR="00072669" w:rsidRPr="00A77D6A" w:rsidRDefault="00072669" w:rsidP="00072669">
      <w:pPr>
        <w:pStyle w:val="Titre1"/>
        <w:ind w:left="432" w:hanging="432"/>
      </w:pPr>
      <w:r>
        <w:t xml:space="preserve">Identifier les rapports anatomiques du cavum et ses relais de drainage lymphatique. </w:t>
      </w:r>
      <w:r w:rsidR="00F251FD">
        <w:t>(Fig 1)</w:t>
      </w:r>
    </w:p>
    <w:p w14:paraId="02E6D8D2" w14:textId="69591D55" w:rsidR="001C297D" w:rsidRDefault="007B40A1" w:rsidP="001C297D">
      <w:pPr>
        <w:pStyle w:val="Paragraphedeliste"/>
      </w:pPr>
      <w:r w:rsidRPr="007B40A1">
        <w:t xml:space="preserve">Le cavum ou nasopharynx </w:t>
      </w:r>
      <w:r w:rsidR="00904FA9">
        <w:t>c</w:t>
      </w:r>
      <w:r w:rsidR="00072669">
        <w:t>onstitue la partie supérieure du pharynx</w:t>
      </w:r>
      <w:r w:rsidR="00904FA9">
        <w:t>. I</w:t>
      </w:r>
      <w:r w:rsidR="00072669">
        <w:t>l est situé sous la base du crâne</w:t>
      </w:r>
      <w:r w:rsidR="00904FA9">
        <w:t xml:space="preserve">, </w:t>
      </w:r>
      <w:r w:rsidR="00072669">
        <w:t xml:space="preserve">compris entre les choanes en avant et le rachis cervical haut en arrière. </w:t>
      </w:r>
    </w:p>
    <w:p w14:paraId="0AFC1D04" w14:textId="56589B39" w:rsidR="001C297D" w:rsidRDefault="00072669" w:rsidP="001C297D">
      <w:pPr>
        <w:pStyle w:val="Paragraphedeliste"/>
      </w:pPr>
      <w:r>
        <w:t>Il est caché à l’observateur par le rideau vélo-palatin</w:t>
      </w:r>
      <w:r w:rsidR="00A92B54">
        <w:t xml:space="preserve"> </w:t>
      </w:r>
      <w:r w:rsidR="00A92B54" w:rsidRPr="00A92B54">
        <w:t>lors de l’examen de l’oropharynx.</w:t>
      </w:r>
    </w:p>
    <w:p w14:paraId="4CF679A4" w14:textId="77777777" w:rsidR="001C297D" w:rsidRDefault="00072669" w:rsidP="001C297D">
      <w:pPr>
        <w:pStyle w:val="Paragraphedeliste"/>
      </w:pPr>
      <w:r>
        <w:t xml:space="preserve">Sa taille et sa forme évoluent avec l’âge. </w:t>
      </w:r>
    </w:p>
    <w:p w14:paraId="323ECEB9" w14:textId="65D35399" w:rsidR="001C297D" w:rsidRDefault="00072669" w:rsidP="001C297D">
      <w:pPr>
        <w:pStyle w:val="Paragraphedeliste"/>
      </w:pPr>
      <w:r>
        <w:t xml:space="preserve">Le </w:t>
      </w:r>
      <w:r w:rsidR="00904FA9">
        <w:t>c</w:t>
      </w:r>
      <w:r>
        <w:t xml:space="preserve">avum a une forme de parallélépipède. </w:t>
      </w:r>
    </w:p>
    <w:p w14:paraId="627268DB" w14:textId="77777777" w:rsidR="001C297D" w:rsidRDefault="00072669" w:rsidP="001C297D">
      <w:pPr>
        <w:pStyle w:val="Paragraphedeliste"/>
      </w:pPr>
      <w:r>
        <w:t xml:space="preserve">Il est vascularisé par des branches collatérales de l’artère carotide externe. </w:t>
      </w:r>
    </w:p>
    <w:p w14:paraId="1C942306" w14:textId="4F3520BA" w:rsidR="001C297D" w:rsidRDefault="00072669" w:rsidP="001C297D">
      <w:pPr>
        <w:pStyle w:val="Paragraphedeliste"/>
      </w:pPr>
      <w:r>
        <w:t>Sa limite inférieure</w:t>
      </w:r>
      <w:r w:rsidR="00A92B54">
        <w:t xml:space="preserve"> </w:t>
      </w:r>
      <w:r w:rsidR="00A92B54" w:rsidRPr="00A92B54">
        <w:t>est virtuelle, elle</w:t>
      </w:r>
      <w:r>
        <w:t xml:space="preserve"> est constituée par un plan horizontal passant par le palais dur. Il s’ouvre en bas directement dans l’oropharynx. </w:t>
      </w:r>
    </w:p>
    <w:p w14:paraId="5F4F0A90" w14:textId="77777777" w:rsidR="001C297D" w:rsidRDefault="00072669" w:rsidP="001C297D">
      <w:pPr>
        <w:pStyle w:val="Paragraphedeliste"/>
      </w:pPr>
      <w:r>
        <w:t xml:space="preserve">Sa paroi latérale est musculo- aponévrotique. </w:t>
      </w:r>
    </w:p>
    <w:p w14:paraId="3B89D51D" w14:textId="77777777" w:rsidR="001C297D" w:rsidRDefault="00072669" w:rsidP="001C297D">
      <w:pPr>
        <w:pStyle w:val="Paragraphedeliste"/>
      </w:pPr>
      <w:r>
        <w:t xml:space="preserve">Sa paroi antérieure est constituée par les choanes et la face postérieure du voile du palais. </w:t>
      </w:r>
    </w:p>
    <w:p w14:paraId="33AA470B" w14:textId="7655256E" w:rsidR="00072669" w:rsidRDefault="00072669" w:rsidP="001C297D">
      <w:pPr>
        <w:pStyle w:val="Paragraphedeliste"/>
      </w:pPr>
      <w:r>
        <w:t>Sa paroi postéro-supérieure présente une formation lymphoïde (végétations adénoïdes).</w:t>
      </w:r>
    </w:p>
    <w:p w14:paraId="26744AE9" w14:textId="77777777" w:rsidR="00072669" w:rsidRDefault="00072669" w:rsidP="008656C5">
      <w:pPr>
        <w:pStyle w:val="Corpsdetexte"/>
      </w:pPr>
    </w:p>
    <w:p w14:paraId="2FF9E911" w14:textId="3AF0D613" w:rsidR="00072669" w:rsidRPr="001C297D" w:rsidRDefault="00072669" w:rsidP="008656C5">
      <w:pPr>
        <w:pStyle w:val="Corpsdetexte"/>
      </w:pPr>
    </w:p>
    <w:p w14:paraId="1B8566F3" w14:textId="77777777" w:rsidR="001C297D" w:rsidRDefault="00072669" w:rsidP="00072669">
      <w:pPr>
        <w:pStyle w:val="Titre2"/>
        <w:ind w:left="576" w:hanging="576"/>
      </w:pPr>
      <w:r>
        <w:lastRenderedPageBreak/>
        <w:t xml:space="preserve">Anatomie </w:t>
      </w:r>
      <w:r w:rsidRPr="00A77D6A">
        <w:t>topographique</w:t>
      </w:r>
      <w:r>
        <w:t xml:space="preserve"> </w:t>
      </w:r>
    </w:p>
    <w:p w14:paraId="216EF969" w14:textId="71B4FFD5" w:rsidR="00072669" w:rsidRDefault="00072669" w:rsidP="001C297D">
      <w:pPr>
        <w:pStyle w:val="Titre3"/>
      </w:pPr>
      <w:r>
        <w:t>La paroi supérieure</w:t>
      </w:r>
      <w:r w:rsidR="009F5339">
        <w:t xml:space="preserve"> (fig2)</w:t>
      </w:r>
    </w:p>
    <w:p w14:paraId="7751F4D1" w14:textId="77777777" w:rsidR="00F251FD" w:rsidRDefault="00F251FD" w:rsidP="00F251FD">
      <w:pPr>
        <w:pStyle w:val="Paragraphedeliste"/>
      </w:pPr>
      <w:r>
        <w:t>Elle est constituée d’une muqueuse appliquée sur l’apophyse basilaire de l’occipital et la partie adjacente du corps du sphénoïde. Elle répond :</w:t>
      </w:r>
    </w:p>
    <w:p w14:paraId="1E29DFA7" w14:textId="77777777" w:rsidR="00F251FD" w:rsidRDefault="00F251FD" w:rsidP="00F251FD">
      <w:pPr>
        <w:pStyle w:val="listetoile"/>
      </w:pPr>
      <w:r>
        <w:t>En haut et médialement, au corps sphénoïdal et au sinus sphénoïdal</w:t>
      </w:r>
    </w:p>
    <w:p w14:paraId="4775C888" w14:textId="66CC036E" w:rsidR="00F251FD" w:rsidRDefault="00F251FD" w:rsidP="00F251FD">
      <w:pPr>
        <w:pStyle w:val="listetoile"/>
      </w:pPr>
      <w:r>
        <w:t>En haut, en avant et latéralement, à la fosse cérébrale moyenne par principalement le sinus</w:t>
      </w:r>
      <w:r w:rsidR="00436D0C">
        <w:t xml:space="preserve"> </w:t>
      </w:r>
      <w:r>
        <w:t>caverneux</w:t>
      </w:r>
    </w:p>
    <w:p w14:paraId="0C9AF276" w14:textId="77777777" w:rsidR="00F251FD" w:rsidRDefault="00F251FD" w:rsidP="00F251FD">
      <w:pPr>
        <w:pStyle w:val="listetoile"/>
      </w:pPr>
      <w:r>
        <w:t>En haut, en arrière et latéralement, à l’apex du rocher</w:t>
      </w:r>
    </w:p>
    <w:p w14:paraId="46453540" w14:textId="44B6F926" w:rsidR="00072669" w:rsidRDefault="00072669" w:rsidP="001C297D">
      <w:pPr>
        <w:pStyle w:val="Titre3"/>
      </w:pPr>
      <w:r>
        <w:t>La paroi</w:t>
      </w:r>
      <w:r>
        <w:rPr>
          <w:spacing w:val="-2"/>
        </w:rPr>
        <w:t xml:space="preserve"> </w:t>
      </w:r>
      <w:r w:rsidRPr="001C297D">
        <w:t>postérieure</w:t>
      </w:r>
      <w:r w:rsidR="009F5339">
        <w:t>(fig2)</w:t>
      </w:r>
    </w:p>
    <w:p w14:paraId="326B22C8" w14:textId="77777777" w:rsidR="00F251FD" w:rsidRDefault="00F251FD" w:rsidP="00F251FD">
      <w:pPr>
        <w:pStyle w:val="listeespace"/>
      </w:pPr>
      <w:r>
        <w:t>Elle répond en arrière et successivement :</w:t>
      </w:r>
    </w:p>
    <w:p w14:paraId="53222FDE" w14:textId="77777777" w:rsidR="00F251FD" w:rsidRDefault="00F251FD" w:rsidP="00F251FD">
      <w:pPr>
        <w:pStyle w:val="listetoile"/>
      </w:pPr>
      <w:r>
        <w:t>à l’espace rétro-pharyngé</w:t>
      </w:r>
    </w:p>
    <w:p w14:paraId="61932FFD" w14:textId="77777777" w:rsidR="00F251FD" w:rsidRDefault="00F251FD" w:rsidP="00F251FD">
      <w:pPr>
        <w:pStyle w:val="listetoile"/>
      </w:pPr>
      <w:r>
        <w:t>aux muscles pré vertébraux</w:t>
      </w:r>
    </w:p>
    <w:p w14:paraId="66A4DCAB" w14:textId="77777777" w:rsidR="00F251FD" w:rsidRDefault="00F251FD" w:rsidP="00F251FD">
      <w:pPr>
        <w:pStyle w:val="listetoile"/>
      </w:pPr>
      <w:r>
        <w:t>au processus basilaire de l’os occipital ainsi qu’à l’arc antérieur de l’atlas&lt; la moitié supérieure de la dent de l’axis.</w:t>
      </w:r>
    </w:p>
    <w:p w14:paraId="64E0E708" w14:textId="65998F4F" w:rsidR="00072669" w:rsidRDefault="00072669" w:rsidP="001C297D">
      <w:pPr>
        <w:pStyle w:val="Titre3"/>
      </w:pPr>
      <w:r>
        <w:t>L</w:t>
      </w:r>
      <w:r w:rsidR="00904FA9">
        <w:t>es</w:t>
      </w:r>
      <w:r>
        <w:t xml:space="preserve"> paroi</w:t>
      </w:r>
      <w:r w:rsidR="00904FA9">
        <w:t>s</w:t>
      </w:r>
      <w:r>
        <w:t xml:space="preserve"> latérale</w:t>
      </w:r>
      <w:r w:rsidR="00904FA9">
        <w:t>s</w:t>
      </w:r>
      <w:r>
        <w:t xml:space="preserve"> </w:t>
      </w:r>
      <w:r w:rsidR="009F5339">
        <w:t>(fig 3,4</w:t>
      </w:r>
      <w:r w:rsidR="00436D0C">
        <w:t>,7</w:t>
      </w:r>
      <w:r w:rsidR="009F5339">
        <w:t>)</w:t>
      </w:r>
    </w:p>
    <w:p w14:paraId="039A058B" w14:textId="77777777" w:rsidR="00F251FD" w:rsidRDefault="00F251FD" w:rsidP="00F251FD">
      <w:pPr>
        <w:pStyle w:val="Paragraphedeliste"/>
      </w:pPr>
      <w:r>
        <w:t>Elles sont de composition musculo-aponévrotique et comportent chacune 2 reliefs :</w:t>
      </w:r>
    </w:p>
    <w:p w14:paraId="33964AD0" w14:textId="77777777" w:rsidR="00F251FD" w:rsidRDefault="00F251FD" w:rsidP="00111D26">
      <w:pPr>
        <w:pStyle w:val="listetoile"/>
      </w:pPr>
      <w:r>
        <w:t>Un relief central qui correspond à l’orifice tubaire de la trompe auditive et qui est longé par un repli musculo-muqueux postéro-supérieur appelé torus tubaire</w:t>
      </w:r>
    </w:p>
    <w:p w14:paraId="55B3FE59" w14:textId="04EA3902" w:rsidR="00F251FD" w:rsidRPr="00E43585" w:rsidRDefault="00F251FD" w:rsidP="00111D26">
      <w:pPr>
        <w:pStyle w:val="listetoile"/>
      </w:pPr>
      <w:r>
        <w:t>Un récessus postéro-latéral, situé entre le torus tubaire et la paroi postérieure du rhinopharynx, appelé récessus pharyngé ou fossette de Rosenmüller (siège d’environ 50% des carcinomes du nasopharynx).</w:t>
      </w:r>
    </w:p>
    <w:p w14:paraId="2D97164F" w14:textId="77777777" w:rsidR="00F251FD" w:rsidRDefault="00F251FD" w:rsidP="00F251FD">
      <w:pPr>
        <w:pStyle w:val="Paragraphedeliste"/>
      </w:pPr>
      <w:r>
        <w:t>La paroi latérale est délimitée en profondeur par une aponévrose solide, en forme de fer à cheval : c’est le fascia pharyngo- basilaire qui s’insère sous la base du crâne. Il constitue une barrière plus au moins résistante à la progression du processus tumoral. Il est interposé entre l'espace muqueux pharyngé, qui peut être examiné par endoscopie, et les espaces profonds céphaliques, uniquement accessibles à l'imagerie.</w:t>
      </w:r>
    </w:p>
    <w:p w14:paraId="183F9A63" w14:textId="77777777" w:rsidR="00F251FD" w:rsidRDefault="00F251FD" w:rsidP="00F251FD">
      <w:pPr>
        <w:pStyle w:val="Paragraphedeliste"/>
      </w:pPr>
      <w:r>
        <w:t>La paroi latérale répond :</w:t>
      </w:r>
    </w:p>
    <w:p w14:paraId="5B127898" w14:textId="77777777" w:rsidR="00F251FD" w:rsidRDefault="00F251FD" w:rsidP="00F251FD">
      <w:pPr>
        <w:pStyle w:val="listetoile"/>
      </w:pPr>
      <w:r>
        <w:t>Au-dessus de l’ostium tubaire, à la trompe auditive.</w:t>
      </w:r>
    </w:p>
    <w:p w14:paraId="6C552DC0" w14:textId="6D293A36" w:rsidR="00E43585" w:rsidRDefault="00F251FD" w:rsidP="00F251FD">
      <w:pPr>
        <w:pStyle w:val="listetoile"/>
      </w:pPr>
      <w:r>
        <w:t>Au-dessous de l’ostium tubaire, aux espaces profonds cervico-faciaux, véritables voies d’extension tumorale : les espaces parapharyngés (préstylien et rétrostylien ou carotidien), l’espace masticateur et l’espace parotidien</w:t>
      </w:r>
    </w:p>
    <w:p w14:paraId="61AB23F9" w14:textId="77777777" w:rsidR="00E43585" w:rsidRDefault="00E43585">
      <w:pPr>
        <w:widowControl/>
        <w:autoSpaceDE/>
        <w:autoSpaceDN/>
        <w:adjustRightInd/>
        <w:spacing w:after="160" w:line="259" w:lineRule="auto"/>
        <w:rPr>
          <w:iCs/>
          <w:szCs w:val="24"/>
          <w:lang w:eastAsia="en-US"/>
        </w:rPr>
      </w:pPr>
      <w:r>
        <w:br w:type="page"/>
      </w:r>
    </w:p>
    <w:p w14:paraId="6D566FAD" w14:textId="6E4D8C8D" w:rsidR="00072669" w:rsidRDefault="00072669" w:rsidP="001C297D">
      <w:pPr>
        <w:pStyle w:val="Titre3"/>
      </w:pPr>
      <w:r>
        <w:lastRenderedPageBreak/>
        <w:t xml:space="preserve">La paroi </w:t>
      </w:r>
      <w:r w:rsidRPr="001C297D">
        <w:t>antérieure</w:t>
      </w:r>
      <w:r>
        <w:t xml:space="preserve"> </w:t>
      </w:r>
      <w:r w:rsidR="00F251FD">
        <w:t>(fig 5)</w:t>
      </w:r>
    </w:p>
    <w:p w14:paraId="369D3652" w14:textId="77777777" w:rsidR="00F251FD" w:rsidRDefault="00F251FD" w:rsidP="00F251FD">
      <w:pPr>
        <w:pStyle w:val="listeespace"/>
      </w:pPr>
      <w:r>
        <w:t>Constituée par les choanes et la face postérieure du voile du palais, elle répond :</w:t>
      </w:r>
    </w:p>
    <w:p w14:paraId="4839C5C0" w14:textId="77777777" w:rsidR="00F251FD" w:rsidRDefault="00F251FD" w:rsidP="00F251FD">
      <w:pPr>
        <w:pStyle w:val="listetoile"/>
      </w:pPr>
      <w:r>
        <w:t>En avant et médialement, aux fosses nasales.</w:t>
      </w:r>
    </w:p>
    <w:p w14:paraId="6B64280B" w14:textId="77777777" w:rsidR="00F251FD" w:rsidRDefault="00F251FD" w:rsidP="00F251FD">
      <w:pPr>
        <w:pStyle w:val="listetoile"/>
      </w:pPr>
      <w:r>
        <w:t>En avant et latéralement, dans sa partie supérieure à l’apex orbitaire et danssa partie moyenne et basse aux sinus maxillaires</w:t>
      </w:r>
    </w:p>
    <w:p w14:paraId="293FFE98" w14:textId="77777777" w:rsidR="00072669" w:rsidRDefault="00072669" w:rsidP="001C297D">
      <w:pPr>
        <w:pStyle w:val="Titre2"/>
      </w:pPr>
      <w:r>
        <w:t>Drainage</w:t>
      </w:r>
      <w:r>
        <w:rPr>
          <w:spacing w:val="-2"/>
        </w:rPr>
        <w:t xml:space="preserve"> </w:t>
      </w:r>
      <w:r w:rsidRPr="001C297D">
        <w:t>lymphatique</w:t>
      </w:r>
    </w:p>
    <w:p w14:paraId="73DB9227" w14:textId="77777777" w:rsidR="00F251FD" w:rsidRDefault="00F251FD" w:rsidP="00F251FD">
      <w:pPr>
        <w:pStyle w:val="listeespace"/>
      </w:pPr>
      <w:r>
        <w:t>Les voies de drainage lymphatiques du nasopharynx sont communes à celles des cavités nasales. Le réseau lymphatique est particulièrement riche au niveau du toit et des parois latérales. En cas de CNP, le drainage lymphatique se fait vers trois relais principaux (avec possibilité de saut de relais):</w:t>
      </w:r>
    </w:p>
    <w:p w14:paraId="4982D5C8" w14:textId="1662C2A5" w:rsidR="00F251FD" w:rsidRDefault="00A92B54" w:rsidP="00A92B54">
      <w:pPr>
        <w:pStyle w:val="listetoile"/>
      </w:pPr>
      <w:r>
        <w:t>Ganglion rétro pharyngé de Rouvière (atteinte dans 30 à 70% cas selon le stade ; retrouv dans 70% des cas en cas de ganglions cervicaux palpables). situé dans l’espace rétropharyngé. Ses adénopathies sont détectées uniquement sur l’imagerie (TDM ou IRM).</w:t>
      </w:r>
    </w:p>
    <w:p w14:paraId="3B503DFC" w14:textId="77777777" w:rsidR="00F251FD" w:rsidRDefault="00F251FD" w:rsidP="00F251FD">
      <w:pPr>
        <w:pStyle w:val="listetoile"/>
      </w:pPr>
      <w:r>
        <w:t>La seconde voie de drainage se fait au niveau de la confluence du spinal accessoire et de la veine jugulaire (secteurs IIb et Va) avec en particulier un ganglion situé au niveau de la pointe de la mastoïde, caractéristique des cancers du nasopharynx.</w:t>
      </w:r>
    </w:p>
    <w:p w14:paraId="1066CEB5" w14:textId="77777777" w:rsidR="00F251FD" w:rsidRDefault="00F251FD" w:rsidP="00F251FD">
      <w:pPr>
        <w:pStyle w:val="listetoile"/>
      </w:pPr>
      <w:r>
        <w:t>La troisième voie de drainage se fait vers les ganglions sous-digastriques puis le reste des ganglions jugulaires internes (secteurs IIa, III et IV).</w:t>
      </w:r>
    </w:p>
    <w:p w14:paraId="26DA2740" w14:textId="563079C9" w:rsidR="009F5339" w:rsidRPr="00E43585" w:rsidRDefault="00F251FD" w:rsidP="00E43585">
      <w:pPr>
        <w:pStyle w:val="listeespace"/>
      </w:pPr>
      <w:r>
        <w:t>Le caractère croisé des voies lymphatiques explique la fréquence des adénopathies bilatérales en cas de CNP.</w:t>
      </w:r>
    </w:p>
    <w:p w14:paraId="3DB39C5F" w14:textId="77777777" w:rsidR="00072669" w:rsidRDefault="00072669" w:rsidP="001C297D">
      <w:pPr>
        <w:pStyle w:val="Titre2"/>
      </w:pPr>
      <w:r>
        <w:t>Anatomie</w:t>
      </w:r>
      <w:r>
        <w:rPr>
          <w:spacing w:val="-2"/>
        </w:rPr>
        <w:t xml:space="preserve"> </w:t>
      </w:r>
      <w:r w:rsidRPr="001C297D">
        <w:t>clinique</w:t>
      </w:r>
    </w:p>
    <w:p w14:paraId="2E82B76A" w14:textId="0823ADB8" w:rsidR="00072669" w:rsidRDefault="00072669" w:rsidP="008656C5">
      <w:pPr>
        <w:pStyle w:val="Corpsdetexte"/>
      </w:pPr>
      <w:r>
        <w:t xml:space="preserve">La topographie profonde du </w:t>
      </w:r>
      <w:r w:rsidRPr="008656C5">
        <w:t>cavum</w:t>
      </w:r>
      <w:r>
        <w:t xml:space="preserve"> rend le diagnostic du cancer du </w:t>
      </w:r>
      <w:r w:rsidR="00F251FD">
        <w:t>nasophrayn</w:t>
      </w:r>
      <w:r>
        <w:t xml:space="preserve"> tardif</w:t>
      </w:r>
      <w:r w:rsidR="00F251FD">
        <w:t xml:space="preserve">,avec souvent </w:t>
      </w:r>
      <w:r>
        <w:t>une symptomatologie d’emprunt par envahissement des organes de voisinage.</w:t>
      </w:r>
      <w:r w:rsidR="00436D0C">
        <w:t xml:space="preserve"> (Fig 6)</w:t>
      </w:r>
    </w:p>
    <w:p w14:paraId="67C31B3F" w14:textId="20D6142D" w:rsidR="00072669" w:rsidRDefault="00072669" w:rsidP="001C297D">
      <w:pPr>
        <w:pStyle w:val="Titre3"/>
      </w:pPr>
      <w:r w:rsidRPr="00A77D6A">
        <w:t>L’extension</w:t>
      </w:r>
      <w:r>
        <w:t xml:space="preserve"> antérieure du </w:t>
      </w:r>
      <w:r w:rsidR="009F5339">
        <w:t>CNP</w:t>
      </w:r>
    </w:p>
    <w:p w14:paraId="42F93380" w14:textId="77777777" w:rsidR="00072669" w:rsidRDefault="00072669" w:rsidP="008656C5">
      <w:pPr>
        <w:pStyle w:val="Corpsdetexte"/>
      </w:pPr>
      <w:r>
        <w:t xml:space="preserve">Peut être </w:t>
      </w:r>
      <w:r w:rsidRPr="008656C5">
        <w:t>révélée</w:t>
      </w:r>
      <w:r>
        <w:t xml:space="preserve"> par :</w:t>
      </w:r>
    </w:p>
    <w:p w14:paraId="6D3999C0" w14:textId="77777777" w:rsidR="00072669" w:rsidRDefault="00072669" w:rsidP="008656C5">
      <w:pPr>
        <w:pStyle w:val="listetoile"/>
      </w:pPr>
      <w:r>
        <w:t>Une obstruction nasale (souvent unilatérale) par envahissement d’une cavité</w:t>
      </w:r>
      <w:r>
        <w:rPr>
          <w:spacing w:val="-17"/>
        </w:rPr>
        <w:t xml:space="preserve"> </w:t>
      </w:r>
      <w:r>
        <w:t>nasale.</w:t>
      </w:r>
    </w:p>
    <w:p w14:paraId="55CC5C4D" w14:textId="6E837E31" w:rsidR="00072669" w:rsidRDefault="00072669" w:rsidP="008656C5">
      <w:pPr>
        <w:pStyle w:val="listetoile"/>
      </w:pPr>
      <w:r>
        <w:t>Un syndrome de l’apex de l’orbite : exophtalmie,</w:t>
      </w:r>
      <w:r>
        <w:rPr>
          <w:spacing w:val="-7"/>
        </w:rPr>
        <w:t xml:space="preserve"> </w:t>
      </w:r>
      <w:r w:rsidR="00436D0C">
        <w:t>ophtalmoplégie</w:t>
      </w:r>
      <w:r>
        <w:t>.</w:t>
      </w:r>
    </w:p>
    <w:p w14:paraId="1BFDD210" w14:textId="6FDB95B2" w:rsidR="00072669" w:rsidRDefault="00072669" w:rsidP="001C297D">
      <w:pPr>
        <w:pStyle w:val="Titre3"/>
      </w:pPr>
      <w:r>
        <w:t xml:space="preserve">L’extension postérieure du </w:t>
      </w:r>
      <w:r w:rsidR="00F251FD">
        <w:t>CNP</w:t>
      </w:r>
      <w:r>
        <w:t xml:space="preserve"> </w:t>
      </w:r>
    </w:p>
    <w:p w14:paraId="73706C5A" w14:textId="54900F8C" w:rsidR="00072669" w:rsidRDefault="00111D26" w:rsidP="008656C5">
      <w:pPr>
        <w:pStyle w:val="Corpsdetexte"/>
      </w:pPr>
      <w:r w:rsidRPr="00111D26">
        <w:t>Elle peut être r</w:t>
      </w:r>
      <w:r w:rsidR="00072669">
        <w:t xml:space="preserve">esponsable d’un </w:t>
      </w:r>
      <w:r w:rsidR="00072669" w:rsidRPr="008656C5">
        <w:t>envahissement</w:t>
      </w:r>
      <w:r w:rsidR="00072669">
        <w:t xml:space="preserve"> des muscles pré</w:t>
      </w:r>
      <w:r w:rsidR="00072669">
        <w:rPr>
          <w:spacing w:val="-18"/>
        </w:rPr>
        <w:t xml:space="preserve"> </w:t>
      </w:r>
      <w:r w:rsidR="00072669">
        <w:t>vertébraux.</w:t>
      </w:r>
    </w:p>
    <w:p w14:paraId="43474287" w14:textId="77777777" w:rsidR="00436D0C" w:rsidRDefault="00436D0C" w:rsidP="008656C5">
      <w:pPr>
        <w:pStyle w:val="Corpsdetexte"/>
      </w:pPr>
    </w:p>
    <w:p w14:paraId="0A9B9401" w14:textId="77777777" w:rsidR="00436D0C" w:rsidRDefault="00436D0C" w:rsidP="008656C5">
      <w:pPr>
        <w:pStyle w:val="Corpsdetexte"/>
      </w:pPr>
    </w:p>
    <w:p w14:paraId="72599FB5" w14:textId="77777777" w:rsidR="00436D0C" w:rsidRDefault="00436D0C" w:rsidP="008656C5">
      <w:pPr>
        <w:pStyle w:val="Corpsdetexte"/>
      </w:pPr>
    </w:p>
    <w:p w14:paraId="7F92F498" w14:textId="77777777" w:rsidR="00436D0C" w:rsidRDefault="00436D0C" w:rsidP="008656C5">
      <w:pPr>
        <w:pStyle w:val="Corpsdetexte"/>
      </w:pPr>
    </w:p>
    <w:p w14:paraId="7B26203D" w14:textId="77777777" w:rsidR="00436D0C" w:rsidRDefault="00436D0C" w:rsidP="008656C5">
      <w:pPr>
        <w:pStyle w:val="Corpsdetexte"/>
      </w:pPr>
    </w:p>
    <w:p w14:paraId="3AF9AFE8" w14:textId="0D80E6E8" w:rsidR="00072669" w:rsidRDefault="00072669" w:rsidP="001C297D">
      <w:pPr>
        <w:pStyle w:val="Titre3"/>
      </w:pPr>
      <w:r>
        <w:t xml:space="preserve">L’extension supérieure (endocrânienne) du </w:t>
      </w:r>
      <w:r w:rsidR="00F251FD">
        <w:t>CNP</w:t>
      </w:r>
    </w:p>
    <w:p w14:paraId="17DE30D3" w14:textId="53109456" w:rsidR="00072669" w:rsidRDefault="00C86591" w:rsidP="008656C5">
      <w:pPr>
        <w:pStyle w:val="Corpsdetexte"/>
      </w:pPr>
      <w:r>
        <w:t>Elle p</w:t>
      </w:r>
      <w:r w:rsidR="00072669">
        <w:t xml:space="preserve">eut être </w:t>
      </w:r>
      <w:r w:rsidR="00072669" w:rsidRPr="008656C5">
        <w:t>révélée</w:t>
      </w:r>
      <w:r w:rsidR="00072669">
        <w:t xml:space="preserve"> par :</w:t>
      </w:r>
    </w:p>
    <w:p w14:paraId="4203C473" w14:textId="50C51515" w:rsidR="00072669" w:rsidRDefault="00072669" w:rsidP="008656C5">
      <w:pPr>
        <w:pStyle w:val="listetoile"/>
      </w:pPr>
      <w:r>
        <w:t xml:space="preserve">Une </w:t>
      </w:r>
      <w:r w:rsidR="00436D0C">
        <w:t>ophtalmoplégie</w:t>
      </w:r>
      <w:r>
        <w:t xml:space="preserve"> en cas d’envahissement du sinus caverneux (qui contient en autres les nerfs</w:t>
      </w:r>
      <w:r>
        <w:rPr>
          <w:spacing w:val="-1"/>
        </w:rPr>
        <w:t xml:space="preserve"> </w:t>
      </w:r>
      <w:r>
        <w:t>oculomoteurs).</w:t>
      </w:r>
    </w:p>
    <w:p w14:paraId="259459A7" w14:textId="53CFA6AC" w:rsidR="00072669" w:rsidRDefault="00072669" w:rsidP="008656C5">
      <w:pPr>
        <w:pStyle w:val="listetoile"/>
      </w:pPr>
      <w:r>
        <w:t xml:space="preserve">Un syndrome de l’apex du </w:t>
      </w:r>
      <w:r w:rsidR="00C86591">
        <w:t>r</w:t>
      </w:r>
      <w:r>
        <w:t>ocher par atteinte du V et du</w:t>
      </w:r>
      <w:r>
        <w:rPr>
          <w:spacing w:val="-6"/>
        </w:rPr>
        <w:t xml:space="preserve"> </w:t>
      </w:r>
      <w:r>
        <w:t>VI.</w:t>
      </w:r>
    </w:p>
    <w:p w14:paraId="47402865" w14:textId="77777777" w:rsidR="00072669" w:rsidRDefault="00072669" w:rsidP="001C297D">
      <w:pPr>
        <w:pStyle w:val="Titre3"/>
      </w:pPr>
      <w:r>
        <w:t>L’extension</w:t>
      </w:r>
      <w:r>
        <w:rPr>
          <w:spacing w:val="-1"/>
        </w:rPr>
        <w:t xml:space="preserve"> </w:t>
      </w:r>
      <w:r>
        <w:t>latérale</w:t>
      </w:r>
    </w:p>
    <w:p w14:paraId="2921FF2D" w14:textId="77777777" w:rsidR="004C4F75" w:rsidRPr="004C4F75" w:rsidRDefault="004C4F75" w:rsidP="004C4F75">
      <w:pPr>
        <w:widowControl/>
        <w:autoSpaceDE/>
        <w:autoSpaceDN/>
        <w:adjustRightInd/>
        <w:spacing w:after="160" w:line="259" w:lineRule="auto"/>
        <w:rPr>
          <w:szCs w:val="24"/>
        </w:rPr>
      </w:pPr>
      <w:r w:rsidRPr="004C4F75">
        <w:rPr>
          <w:szCs w:val="24"/>
        </w:rPr>
        <w:t>Elle peut être révélée par :</w:t>
      </w:r>
    </w:p>
    <w:p w14:paraId="1847344C" w14:textId="77777777" w:rsidR="004C4F75" w:rsidRPr="004C4F75" w:rsidRDefault="004C4F75" w:rsidP="004C4F75">
      <w:pPr>
        <w:pStyle w:val="listetoile"/>
      </w:pPr>
      <w:r w:rsidRPr="004C4F75">
        <w:t>Une hypoacousie (surdité de transmission) ou une otalgie, par  obstruction ou envahissement de la trompe auditive.</w:t>
      </w:r>
    </w:p>
    <w:p w14:paraId="7EADFE01" w14:textId="77777777" w:rsidR="004C4F75" w:rsidRDefault="004C4F75" w:rsidP="004C4F75">
      <w:pPr>
        <w:pStyle w:val="listetoile"/>
      </w:pPr>
      <w:r w:rsidRPr="004C4F75">
        <w:t>Une atteinte neurologique, par extension vers les espaces profonds (rétrostylien essentiellement).</w:t>
      </w:r>
    </w:p>
    <w:p w14:paraId="40124C45" w14:textId="37510E79" w:rsidR="00A92B54" w:rsidRPr="004C4F75" w:rsidRDefault="00A92B54" w:rsidP="00A92B54">
      <w:pPr>
        <w:pStyle w:val="listetoile"/>
      </w:pPr>
      <w:r w:rsidRPr="00A92B54">
        <w:t>Un trismus par l’atteinte des espaces masticateurs au niveau de la fosse infra</w:t>
      </w:r>
      <w:r>
        <w:t xml:space="preserve"> </w:t>
      </w:r>
      <w:r w:rsidRPr="00A92B54">
        <w:t>temporale.</w:t>
      </w:r>
    </w:p>
    <w:p w14:paraId="3E75AA75" w14:textId="6D117B88" w:rsidR="008656C5" w:rsidRDefault="008656C5">
      <w:pPr>
        <w:widowControl/>
        <w:autoSpaceDE/>
        <w:autoSpaceDN/>
        <w:adjustRightInd/>
        <w:spacing w:after="160" w:line="259" w:lineRule="auto"/>
        <w:rPr>
          <w:iCs/>
          <w:szCs w:val="24"/>
          <w:lang w:eastAsia="en-US"/>
        </w:rPr>
      </w:pPr>
    </w:p>
    <w:p w14:paraId="79E5B308" w14:textId="2957C2E6" w:rsidR="008656C5" w:rsidRDefault="00072669" w:rsidP="008656C5">
      <w:pPr>
        <w:pStyle w:val="Titre1"/>
      </w:pPr>
      <w:r>
        <w:t xml:space="preserve">Décrire les </w:t>
      </w:r>
      <w:r w:rsidRPr="001C297D">
        <w:t>particularités</w:t>
      </w:r>
      <w:r>
        <w:t xml:space="preserve"> </w:t>
      </w:r>
      <w:r w:rsidRPr="008656C5">
        <w:t>épidémiologiques</w:t>
      </w:r>
      <w:r>
        <w:t xml:space="preserve"> du </w:t>
      </w:r>
      <w:r w:rsidR="00C73A06">
        <w:t>CNP</w:t>
      </w:r>
      <w:r>
        <w:t xml:space="preserve">. </w:t>
      </w:r>
    </w:p>
    <w:p w14:paraId="3A941242" w14:textId="0862EF6F" w:rsidR="00072669" w:rsidRDefault="008656C5" w:rsidP="008656C5">
      <w:pPr>
        <w:pStyle w:val="Titre2"/>
      </w:pPr>
      <w:r>
        <w:t>I</w:t>
      </w:r>
      <w:r w:rsidR="00072669">
        <w:t>ncidence</w:t>
      </w:r>
    </w:p>
    <w:p w14:paraId="5D8D39BA" w14:textId="77777777" w:rsidR="00072669" w:rsidRDefault="00072669" w:rsidP="008656C5">
      <w:pPr>
        <w:pStyle w:val="Corpsdetexte"/>
      </w:pPr>
      <w:r>
        <w:t>Les carcinomes nasopharyngiens (CNP) ont une répartition géographique particulière avec :</w:t>
      </w:r>
    </w:p>
    <w:p w14:paraId="0DEC86EA" w14:textId="77777777" w:rsidR="00072669" w:rsidRDefault="00072669" w:rsidP="008656C5">
      <w:pPr>
        <w:pStyle w:val="niv15"/>
      </w:pPr>
      <w:r w:rsidRPr="008656C5">
        <w:rPr>
          <w:i/>
          <w:iCs/>
        </w:rPr>
        <w:t>Des zones de faible incidence</w:t>
      </w:r>
      <w:r>
        <w:t xml:space="preserve"> (0,5 à 2 pour 100000 par an : Europe, pays occidentaux et</w:t>
      </w:r>
      <w:r>
        <w:rPr>
          <w:spacing w:val="-1"/>
        </w:rPr>
        <w:t xml:space="preserve"> </w:t>
      </w:r>
      <w:r>
        <w:t>Etats-Unis.</w:t>
      </w:r>
    </w:p>
    <w:p w14:paraId="46007987" w14:textId="39EE4C4C" w:rsidR="00072669" w:rsidRDefault="00072669" w:rsidP="008656C5">
      <w:pPr>
        <w:pStyle w:val="niv15"/>
      </w:pPr>
      <w:r w:rsidRPr="008656C5">
        <w:rPr>
          <w:i/>
          <w:iCs/>
        </w:rPr>
        <w:t>Des zones d’incidence intermédiaire</w:t>
      </w:r>
      <w:r>
        <w:t xml:space="preserve"> (8 à 12 pour 100000 par an) : pays du pourtour méditerranéen (Tunisie et</w:t>
      </w:r>
      <w:r>
        <w:rPr>
          <w:spacing w:val="-1"/>
        </w:rPr>
        <w:t xml:space="preserve"> </w:t>
      </w:r>
      <w:r>
        <w:t>Moyen-Orient</w:t>
      </w:r>
      <w:r w:rsidR="00014808">
        <w:t>).</w:t>
      </w:r>
    </w:p>
    <w:p w14:paraId="1B430491" w14:textId="77777777" w:rsidR="00072669" w:rsidRDefault="00072669" w:rsidP="008656C5">
      <w:pPr>
        <w:pStyle w:val="niv15"/>
      </w:pPr>
      <w:r w:rsidRPr="008656C5">
        <w:rPr>
          <w:i/>
          <w:iCs/>
        </w:rPr>
        <w:t>Des zones d’incidence élevée</w:t>
      </w:r>
      <w:r>
        <w:t xml:space="preserve"> (30 à 80 pour 100000 par an) : Asie du</w:t>
      </w:r>
      <w:r>
        <w:rPr>
          <w:spacing w:val="-11"/>
        </w:rPr>
        <w:t xml:space="preserve"> </w:t>
      </w:r>
      <w:r>
        <w:t>sud-est</w:t>
      </w:r>
    </w:p>
    <w:p w14:paraId="7512DDF4" w14:textId="77777777" w:rsidR="00072669" w:rsidRDefault="00072669" w:rsidP="008656C5">
      <w:pPr>
        <w:pStyle w:val="Titre2"/>
      </w:pPr>
      <w:r>
        <w:t>Age</w:t>
      </w:r>
    </w:p>
    <w:p w14:paraId="6FD9CB14" w14:textId="26DCBDAF" w:rsidR="00072669" w:rsidRDefault="00072669" w:rsidP="008656C5">
      <w:pPr>
        <w:pStyle w:val="Corpsdetexte"/>
      </w:pPr>
      <w:r>
        <w:t>L’âge moyen de survenu</w:t>
      </w:r>
      <w:r w:rsidR="00C73A06">
        <w:t>e</w:t>
      </w:r>
      <w:r>
        <w:t xml:space="preserve"> du CNP varie selon la zone géographique et le type histologique indifférencié ou non :</w:t>
      </w:r>
    </w:p>
    <w:p w14:paraId="1150BEC5" w14:textId="0A97CA60" w:rsidR="00072669" w:rsidRDefault="00072669" w:rsidP="008656C5">
      <w:pPr>
        <w:pStyle w:val="listetoile"/>
      </w:pPr>
      <w:r w:rsidRPr="008656C5">
        <w:rPr>
          <w:i/>
          <w:iCs w:val="0"/>
        </w:rPr>
        <w:t>Dans les pays à haut risque</w:t>
      </w:r>
      <w:r>
        <w:t xml:space="preserve"> l’âge moyen </w:t>
      </w:r>
      <w:r w:rsidR="00C73A06">
        <w:t xml:space="preserve">est </w:t>
      </w:r>
      <w:r>
        <w:t>en général de 50</w:t>
      </w:r>
      <w:r>
        <w:rPr>
          <w:spacing w:val="-8"/>
        </w:rPr>
        <w:t xml:space="preserve"> </w:t>
      </w:r>
      <w:r>
        <w:t>ans</w:t>
      </w:r>
    </w:p>
    <w:p w14:paraId="7E25C9C2" w14:textId="77777777" w:rsidR="008656C5" w:rsidRDefault="00072669" w:rsidP="008656C5">
      <w:pPr>
        <w:pStyle w:val="listetoile"/>
      </w:pPr>
      <w:r w:rsidRPr="008656C5">
        <w:rPr>
          <w:i/>
          <w:iCs w:val="0"/>
        </w:rPr>
        <w:t>Dans les pays à risque intermédiaire :</w:t>
      </w:r>
      <w:r>
        <w:t xml:space="preserve"> la répartition est bimodale avec un premier pic entre 10 et 24 ans et un deuxième à 50 ans.</w:t>
      </w:r>
    </w:p>
    <w:p w14:paraId="61B352D2" w14:textId="11F1A3CE" w:rsidR="00072669" w:rsidRDefault="00072669" w:rsidP="008656C5">
      <w:pPr>
        <w:pStyle w:val="niv2"/>
      </w:pPr>
      <w:r>
        <w:t xml:space="preserve"> En Tunisie par exemple les cas pédiatriques (avant 18 ans) représentent 5% des cancers nasopharyngés (tumeur épithéliale la plus fréquente en oncologie</w:t>
      </w:r>
      <w:r>
        <w:rPr>
          <w:spacing w:val="-6"/>
        </w:rPr>
        <w:t xml:space="preserve"> </w:t>
      </w:r>
      <w:r>
        <w:t>pédiatrique)</w:t>
      </w:r>
    </w:p>
    <w:p w14:paraId="377D3887" w14:textId="1646B849" w:rsidR="00072669" w:rsidRDefault="00072669" w:rsidP="008656C5">
      <w:pPr>
        <w:pStyle w:val="listetoile"/>
      </w:pPr>
      <w:r w:rsidRPr="008656C5">
        <w:rPr>
          <w:i/>
          <w:iCs w:val="0"/>
        </w:rPr>
        <w:t>Dans les pays à faible</w:t>
      </w:r>
      <w:r>
        <w:t xml:space="preserve"> </w:t>
      </w:r>
      <w:r w:rsidR="004C4F75">
        <w:t xml:space="preserve"> risque </w:t>
      </w:r>
      <w:r>
        <w:t>l’âge moyen est en général supérieur à 50</w:t>
      </w:r>
      <w:r>
        <w:rPr>
          <w:spacing w:val="-12"/>
        </w:rPr>
        <w:t xml:space="preserve"> </w:t>
      </w:r>
      <w:r>
        <w:t>ans</w:t>
      </w:r>
    </w:p>
    <w:p w14:paraId="59EE5EA5" w14:textId="77777777" w:rsidR="00072669" w:rsidRDefault="00072669" w:rsidP="008656C5">
      <w:pPr>
        <w:pStyle w:val="Titre2"/>
      </w:pPr>
      <w:r>
        <w:t>Sexe</w:t>
      </w:r>
      <w:r>
        <w:rPr>
          <w:spacing w:val="-1"/>
        </w:rPr>
        <w:t xml:space="preserve"> </w:t>
      </w:r>
      <w:r>
        <w:t>:</w:t>
      </w:r>
    </w:p>
    <w:p w14:paraId="28B1C459" w14:textId="77777777" w:rsidR="00072669" w:rsidRDefault="00072669" w:rsidP="008656C5">
      <w:pPr>
        <w:pStyle w:val="Corpsdetexte"/>
      </w:pPr>
      <w:r>
        <w:t>Les hommes sont plus fréquemment atteints que les femmes, avec un sex-ratio de 2 à 3.</w:t>
      </w:r>
    </w:p>
    <w:p w14:paraId="46C64D18" w14:textId="77777777" w:rsidR="00072669" w:rsidRDefault="00072669" w:rsidP="008656C5">
      <w:pPr>
        <w:pStyle w:val="Titre2"/>
      </w:pPr>
      <w:r>
        <w:lastRenderedPageBreak/>
        <w:t>Répartition</w:t>
      </w:r>
      <w:r>
        <w:rPr>
          <w:spacing w:val="-1"/>
        </w:rPr>
        <w:t xml:space="preserve"> </w:t>
      </w:r>
      <w:r>
        <w:t>histologique</w:t>
      </w:r>
    </w:p>
    <w:p w14:paraId="1F762808" w14:textId="5AD96DFD" w:rsidR="008656C5" w:rsidRDefault="00072669" w:rsidP="008656C5">
      <w:pPr>
        <w:pStyle w:val="listeespace"/>
      </w:pPr>
      <w:r>
        <w:t xml:space="preserve">Les carcinomes </w:t>
      </w:r>
      <w:r w:rsidR="004C4F75">
        <w:t>épidermoïdes</w:t>
      </w:r>
      <w:r>
        <w:t xml:space="preserve"> sont les CNP prédominants, quelle que soit la région considérée. </w:t>
      </w:r>
    </w:p>
    <w:p w14:paraId="4AF1E539" w14:textId="0EE13941" w:rsidR="008656C5" w:rsidRDefault="00072669" w:rsidP="00014808">
      <w:pPr>
        <w:pStyle w:val="niv15"/>
      </w:pPr>
      <w:r>
        <w:t xml:space="preserve">Dans les zones </w:t>
      </w:r>
      <w:r w:rsidR="004C4F75">
        <w:t xml:space="preserve">à </w:t>
      </w:r>
      <w:r>
        <w:t>forte</w:t>
      </w:r>
      <w:r w:rsidR="004C4F75">
        <w:t xml:space="preserve"> incidence</w:t>
      </w:r>
      <w:r>
        <w:t>, les formes non kératinisantes</w:t>
      </w:r>
      <w:r w:rsidR="004C4F75">
        <w:t xml:space="preserve"> </w:t>
      </w:r>
      <w:r>
        <w:t>représente</w:t>
      </w:r>
      <w:r w:rsidR="00C73A06">
        <w:t>nt</w:t>
      </w:r>
      <w:r>
        <w:t xml:space="preserve"> 80 à 90% des cas. </w:t>
      </w:r>
    </w:p>
    <w:p w14:paraId="4BAA4919" w14:textId="6EFA5EDE" w:rsidR="008656C5" w:rsidRDefault="00072669" w:rsidP="00014808">
      <w:pPr>
        <w:pStyle w:val="niv15"/>
      </w:pPr>
      <w:r>
        <w:t>Dans les zones de faible incidence, la forme épidermoïde kératinisante</w:t>
      </w:r>
      <w:r w:rsidR="004C4F75">
        <w:t xml:space="preserve"> </w:t>
      </w:r>
      <w:r>
        <w:t>représente 30 à 70% des cas et elle est associée à une consommation excessive de tabac et d’alcool.</w:t>
      </w:r>
    </w:p>
    <w:p w14:paraId="5A5BE1C8" w14:textId="77777777" w:rsidR="008656C5" w:rsidRDefault="008656C5">
      <w:pPr>
        <w:widowControl/>
        <w:autoSpaceDE/>
        <w:autoSpaceDN/>
        <w:adjustRightInd/>
        <w:spacing w:after="160" w:line="259" w:lineRule="auto"/>
        <w:rPr>
          <w:szCs w:val="24"/>
        </w:rPr>
      </w:pPr>
      <w:r>
        <w:br w:type="page"/>
      </w:r>
    </w:p>
    <w:p w14:paraId="149D2462" w14:textId="36559B8B" w:rsidR="008656C5" w:rsidRDefault="00072669" w:rsidP="008656C5">
      <w:pPr>
        <w:pStyle w:val="Titre1"/>
      </w:pPr>
      <w:r>
        <w:lastRenderedPageBreak/>
        <w:t xml:space="preserve">Décrire les aspects </w:t>
      </w:r>
      <w:r w:rsidRPr="008656C5">
        <w:t>anatomopathologiques</w:t>
      </w:r>
      <w:r>
        <w:t xml:space="preserve"> du </w:t>
      </w:r>
      <w:r w:rsidR="00494E07">
        <w:t>CNP</w:t>
      </w:r>
      <w:r>
        <w:t xml:space="preserve">. </w:t>
      </w:r>
    </w:p>
    <w:p w14:paraId="5EC31202" w14:textId="70F8CF65" w:rsidR="00072669" w:rsidRDefault="00072669" w:rsidP="008656C5">
      <w:pPr>
        <w:pStyle w:val="Titre2"/>
      </w:pPr>
      <w:r>
        <w:t>Formes</w:t>
      </w:r>
      <w:r>
        <w:rPr>
          <w:spacing w:val="-1"/>
        </w:rPr>
        <w:t xml:space="preserve"> </w:t>
      </w:r>
      <w:r>
        <w:t>macroscopiques</w:t>
      </w:r>
    </w:p>
    <w:p w14:paraId="7C96ACF7" w14:textId="77777777" w:rsidR="00072669" w:rsidRDefault="00072669" w:rsidP="008656C5">
      <w:pPr>
        <w:pStyle w:val="Corpsdetexte"/>
      </w:pPr>
      <w:r>
        <w:t>Sur le plan macroscopique la tumeur peut avoir plusieurs formes :</w:t>
      </w:r>
    </w:p>
    <w:p w14:paraId="3B76828E" w14:textId="77777777" w:rsidR="00072669" w:rsidRDefault="00072669" w:rsidP="00271C84">
      <w:pPr>
        <w:pStyle w:val="listetoile"/>
      </w:pPr>
      <w:r w:rsidRPr="00271C84">
        <w:rPr>
          <w:rStyle w:val="bodystrongChar"/>
        </w:rPr>
        <w:t>Forme bourgeonnante</w:t>
      </w:r>
      <w:r>
        <w:t xml:space="preserve"> (la plus</w:t>
      </w:r>
      <w:r>
        <w:rPr>
          <w:spacing w:val="-4"/>
        </w:rPr>
        <w:t xml:space="preserve"> </w:t>
      </w:r>
      <w:r>
        <w:t>fréquente)</w:t>
      </w:r>
    </w:p>
    <w:p w14:paraId="4C7B611E" w14:textId="77777777" w:rsidR="00072669" w:rsidRPr="00271C84" w:rsidRDefault="00072669" w:rsidP="00271C84">
      <w:pPr>
        <w:pStyle w:val="listetoile"/>
        <w:rPr>
          <w:b/>
          <w:bCs/>
          <w:i/>
          <w:iCs w:val="0"/>
        </w:rPr>
      </w:pPr>
      <w:r w:rsidRPr="00271C84">
        <w:rPr>
          <w:b/>
          <w:bCs/>
          <w:i/>
          <w:iCs w:val="0"/>
        </w:rPr>
        <w:t>Forme</w:t>
      </w:r>
      <w:r w:rsidRPr="00271C84">
        <w:rPr>
          <w:b/>
          <w:bCs/>
          <w:i/>
          <w:iCs w:val="0"/>
          <w:spacing w:val="-2"/>
        </w:rPr>
        <w:t xml:space="preserve"> </w:t>
      </w:r>
      <w:r w:rsidRPr="00271C84">
        <w:rPr>
          <w:b/>
          <w:bCs/>
          <w:i/>
          <w:iCs w:val="0"/>
        </w:rPr>
        <w:t>ulcéro-infiltrante</w:t>
      </w:r>
    </w:p>
    <w:p w14:paraId="3449AC71" w14:textId="437711E9" w:rsidR="00072669" w:rsidRDefault="00072669" w:rsidP="00271C84">
      <w:pPr>
        <w:pStyle w:val="listetoile"/>
      </w:pPr>
      <w:r w:rsidRPr="00271C84">
        <w:rPr>
          <w:rStyle w:val="bodystrongChar"/>
        </w:rPr>
        <w:t xml:space="preserve">Forme infiltrante sous-muqueuse : </w:t>
      </w:r>
      <w:r>
        <w:t>La muqueuse peut paraitre normale alors que l’infiltration tumorale s’est déjà étendue au-delà du nasopharynx (adénopathies tumorales sans primitif connu). Elle pose un problème diagnostique avec souvent</w:t>
      </w:r>
      <w:r w:rsidR="00493CC4">
        <w:t>, la</w:t>
      </w:r>
      <w:r>
        <w:t xml:space="preserve"> nécessité de faire des biopsies profondes, sous anesthésie générale, après incision de la muqueuse du</w:t>
      </w:r>
      <w:r w:rsidR="004C4F75">
        <w:t xml:space="preserve"> nasopharynx </w:t>
      </w:r>
      <w:r>
        <w:t>pour faire le</w:t>
      </w:r>
      <w:r>
        <w:rPr>
          <w:spacing w:val="-5"/>
        </w:rPr>
        <w:t xml:space="preserve"> </w:t>
      </w:r>
      <w:r>
        <w:t>diagnostic.</w:t>
      </w:r>
    </w:p>
    <w:p w14:paraId="09693E26" w14:textId="77777777" w:rsidR="00072669" w:rsidRDefault="00072669" w:rsidP="008656C5">
      <w:pPr>
        <w:pStyle w:val="Titre2"/>
      </w:pPr>
      <w:r>
        <w:t>Formes</w:t>
      </w:r>
      <w:r>
        <w:rPr>
          <w:spacing w:val="-5"/>
        </w:rPr>
        <w:t xml:space="preserve"> </w:t>
      </w:r>
      <w:r>
        <w:t>histologiques</w:t>
      </w:r>
    </w:p>
    <w:p w14:paraId="2581FC24" w14:textId="77777777" w:rsidR="00072669" w:rsidRDefault="00072669" w:rsidP="008656C5">
      <w:pPr>
        <w:pStyle w:val="Titre3"/>
      </w:pPr>
      <w:r>
        <w:t>Forme</w:t>
      </w:r>
      <w:r>
        <w:rPr>
          <w:spacing w:val="-3"/>
        </w:rPr>
        <w:t xml:space="preserve"> </w:t>
      </w:r>
      <w:r>
        <w:t>commune</w:t>
      </w:r>
    </w:p>
    <w:p w14:paraId="06B2BDBC" w14:textId="77777777" w:rsidR="00072669" w:rsidRDefault="00072669" w:rsidP="008656C5">
      <w:pPr>
        <w:pStyle w:val="Corpsdetexte"/>
      </w:pPr>
      <w:r>
        <w:t>Les carcinomes représentent la forme histologique la plus fréquente. Selon la classification de l’OMS 2017 On note 3 groupes histologiques principaux :</w:t>
      </w:r>
    </w:p>
    <w:p w14:paraId="112F0A65" w14:textId="77777777" w:rsidR="00A87BFB" w:rsidRPr="00A87BFB" w:rsidRDefault="00072669" w:rsidP="00A87BFB">
      <w:pPr>
        <w:pStyle w:val="listex"/>
      </w:pPr>
      <w:r w:rsidRPr="00A87BFB">
        <w:t xml:space="preserve">Carcinomes épidermoïdes non kératinisants : </w:t>
      </w:r>
    </w:p>
    <w:p w14:paraId="5743A115" w14:textId="77777777" w:rsidR="00A87BFB" w:rsidRDefault="00072669" w:rsidP="00A87BFB">
      <w:pPr>
        <w:pStyle w:val="listeniv2"/>
      </w:pPr>
      <w:r>
        <w:t xml:space="preserve">subdivisés en deux sous-types : </w:t>
      </w:r>
    </w:p>
    <w:p w14:paraId="61FB0B0A" w14:textId="77777777" w:rsidR="00A87BFB" w:rsidRDefault="00072669" w:rsidP="00A87BFB">
      <w:pPr>
        <w:pStyle w:val="niv2"/>
      </w:pPr>
      <w:r w:rsidRPr="00A87BFB">
        <w:rPr>
          <w:rStyle w:val="bodystrongChar"/>
        </w:rPr>
        <w:t>les carcinomes indifférenciés</w:t>
      </w:r>
      <w:r>
        <w:t xml:space="preserve">, forme la plus fréquente (communément connus sous le terme de </w:t>
      </w:r>
      <w:r>
        <w:rPr>
          <w:i/>
        </w:rPr>
        <w:t xml:space="preserve">carcinome indifférencié de type nasopharyngé </w:t>
      </w:r>
      <w:r>
        <w:t xml:space="preserve">; </w:t>
      </w:r>
      <w:r>
        <w:rPr>
          <w:i/>
        </w:rPr>
        <w:t>UCNT</w:t>
      </w:r>
      <w:r>
        <w:t xml:space="preserve">) </w:t>
      </w:r>
    </w:p>
    <w:p w14:paraId="122581CF" w14:textId="588784B5" w:rsidR="00072669" w:rsidRDefault="00072669" w:rsidP="00A87BFB">
      <w:pPr>
        <w:pStyle w:val="niv2"/>
      </w:pPr>
      <w:r>
        <w:t xml:space="preserve">et </w:t>
      </w:r>
      <w:r w:rsidRPr="00A87BFB">
        <w:rPr>
          <w:rStyle w:val="bodystrongChar"/>
        </w:rPr>
        <w:t>les carcinomes différenciés.</w:t>
      </w:r>
    </w:p>
    <w:p w14:paraId="43F191A1" w14:textId="77777777" w:rsidR="00072669" w:rsidRDefault="00072669" w:rsidP="00A87BFB">
      <w:pPr>
        <w:pStyle w:val="listex"/>
      </w:pPr>
      <w:r>
        <w:t>Carcinomes épidermoïdes</w:t>
      </w:r>
      <w:r>
        <w:rPr>
          <w:spacing w:val="-1"/>
        </w:rPr>
        <w:t xml:space="preserve"> </w:t>
      </w:r>
      <w:r>
        <w:t>kératinisants</w:t>
      </w:r>
    </w:p>
    <w:p w14:paraId="256CA681" w14:textId="77777777" w:rsidR="00072669" w:rsidRDefault="00072669" w:rsidP="00A87BFB">
      <w:pPr>
        <w:pStyle w:val="listex"/>
      </w:pPr>
      <w:r>
        <w:t xml:space="preserve">Carcinomes épidermoïdes basaloïdes : </w:t>
      </w:r>
      <w:r w:rsidRPr="00A87BFB">
        <w:rPr>
          <w:color w:val="auto"/>
        </w:rPr>
        <w:t>très</w:t>
      </w:r>
      <w:r w:rsidRPr="00A87BFB">
        <w:rPr>
          <w:color w:val="auto"/>
          <w:spacing w:val="-2"/>
        </w:rPr>
        <w:t xml:space="preserve"> </w:t>
      </w:r>
      <w:r w:rsidRPr="00A87BFB">
        <w:rPr>
          <w:color w:val="auto"/>
        </w:rPr>
        <w:t>rares.</w:t>
      </w:r>
    </w:p>
    <w:p w14:paraId="00463B1B" w14:textId="77777777" w:rsidR="004C4F75" w:rsidRDefault="004C4F75" w:rsidP="004C4F75">
      <w:pPr>
        <w:pStyle w:val="Paragraphedeliste"/>
      </w:pPr>
      <w:r>
        <w:t>Le carcinome épidermoïde kératinisant est lié à l’exposition tabagique, identique à celui rencontré au niveau de la cavité buccale et ne présente pas de particularité histologique. Il est moins sensible à la radiothérapie que le carcinome indifférencié.</w:t>
      </w:r>
    </w:p>
    <w:p w14:paraId="66427526" w14:textId="77777777" w:rsidR="004C4F75" w:rsidRDefault="004C4F75" w:rsidP="004C4F75">
      <w:pPr>
        <w:pStyle w:val="Paragraphedeliste"/>
      </w:pPr>
      <w:r>
        <w:t>L’UCNT représente environ 70% des cancers du cavum. Il est lié à des facteurs génétiques et à l’infection par le virus EBV. Son aspect histologique est particulier, formé de grandes cellules tumorales aux limites indistinctes, pourvues de noyaux de grande taille, clairs, renfermant 1 ou 2 gros nucléoles.</w:t>
      </w:r>
    </w:p>
    <w:p w14:paraId="54478C19" w14:textId="77777777" w:rsidR="00014808" w:rsidRDefault="004C4F75" w:rsidP="00014808">
      <w:pPr>
        <w:pStyle w:val="Paragraphedeliste"/>
        <w:numPr>
          <w:ilvl w:val="0"/>
          <w:numId w:val="0"/>
        </w:numPr>
        <w:ind w:left="-142"/>
      </w:pPr>
      <w:r>
        <w:t xml:space="preserve">Les cellules sont disposées en nappes ou en travées et prennent souvent un aspect syncytial, entourées par un stroma lymphocytaire abondant et légèrement fibreux. </w:t>
      </w:r>
    </w:p>
    <w:p w14:paraId="2E526508" w14:textId="0F5BEAB3" w:rsidR="00A87BFB" w:rsidRDefault="004C4F75" w:rsidP="00014808">
      <w:pPr>
        <w:pStyle w:val="listeespace"/>
      </w:pPr>
      <w:r>
        <w:t xml:space="preserve">Le diagnostic </w:t>
      </w:r>
      <w:r w:rsidRPr="00411985">
        <w:t>peut</w:t>
      </w:r>
      <w:r>
        <w:t xml:space="preserve"> être aidé par la détection sur coupes, de marqueurs épithéliaux et de marqueurs liés à l’infection par EBV : soit l’antigène LMP1 par immunohistochimie, soit les ARN EBER par hybridation in situ</w:t>
      </w:r>
      <w:r w:rsidR="00072669">
        <w:t>.</w:t>
      </w:r>
    </w:p>
    <w:p w14:paraId="02F9EC86" w14:textId="77777777" w:rsidR="00A87BFB" w:rsidRDefault="00A87BFB">
      <w:pPr>
        <w:widowControl/>
        <w:autoSpaceDE/>
        <w:autoSpaceDN/>
        <w:adjustRightInd/>
        <w:spacing w:after="160" w:line="259" w:lineRule="auto"/>
        <w:rPr>
          <w:szCs w:val="24"/>
          <w:lang w:eastAsia="en-US"/>
        </w:rPr>
      </w:pPr>
      <w:r>
        <w:br w:type="page"/>
      </w:r>
    </w:p>
    <w:p w14:paraId="29FAAE03" w14:textId="77777777" w:rsidR="00072669" w:rsidRDefault="00072669" w:rsidP="008656C5">
      <w:pPr>
        <w:pStyle w:val="Titre3"/>
      </w:pPr>
      <w:r>
        <w:lastRenderedPageBreak/>
        <w:t>Formes</w:t>
      </w:r>
      <w:r>
        <w:rPr>
          <w:spacing w:val="-1"/>
        </w:rPr>
        <w:t xml:space="preserve"> </w:t>
      </w:r>
      <w:r>
        <w:t>particulières</w:t>
      </w:r>
    </w:p>
    <w:p w14:paraId="10F27538" w14:textId="77777777" w:rsidR="00072669" w:rsidRDefault="00072669" w:rsidP="008656C5">
      <w:pPr>
        <w:pStyle w:val="Titre4"/>
      </w:pPr>
      <w:r>
        <w:t xml:space="preserve">Tumeurs </w:t>
      </w:r>
      <w:r w:rsidRPr="008656C5">
        <w:t>hémato</w:t>
      </w:r>
      <w:r>
        <w:t>-lymphoïdes</w:t>
      </w:r>
      <w:r>
        <w:rPr>
          <w:spacing w:val="-1"/>
        </w:rPr>
        <w:t xml:space="preserve"> </w:t>
      </w:r>
      <w:r>
        <w:t>:</w:t>
      </w:r>
    </w:p>
    <w:p w14:paraId="6EAD210E" w14:textId="77777777" w:rsidR="00A87BFB" w:rsidRDefault="00072669" w:rsidP="00A87BFB">
      <w:pPr>
        <w:pStyle w:val="Paragraphedeliste"/>
      </w:pPr>
      <w:r>
        <w:t xml:space="preserve">Ce sont les tumeurs non épithéliales les plus fréquentes. </w:t>
      </w:r>
    </w:p>
    <w:p w14:paraId="03D24F62" w14:textId="6EB03FF5" w:rsidR="00A87BFB" w:rsidRDefault="00072669" w:rsidP="00A87BFB">
      <w:pPr>
        <w:pStyle w:val="Paragraphedeliste"/>
      </w:pPr>
      <w:r>
        <w:t>Il s’agit le plus souvent de lymphomes</w:t>
      </w:r>
      <w:r w:rsidR="00493CC4">
        <w:t xml:space="preserve"> </w:t>
      </w:r>
      <w:r>
        <w:t xml:space="preserve">B diffus à grandes cellules suivis par les lymphomes T/NK et les lymphomes T périphériques. </w:t>
      </w:r>
    </w:p>
    <w:p w14:paraId="4087ADCD" w14:textId="49B076B1" w:rsidR="00072669" w:rsidRDefault="00072669" w:rsidP="00A87BFB">
      <w:pPr>
        <w:pStyle w:val="Paragraphedeliste"/>
      </w:pPr>
      <w:r>
        <w:t xml:space="preserve">Des cas de plasmocytomes extra-osseux et de sarcomes myéloïdes ont été décrits </w:t>
      </w:r>
      <w:r w:rsidR="004C4F75">
        <w:t>dans</w:t>
      </w:r>
      <w:r>
        <w:t xml:space="preserve"> cette localisation.</w:t>
      </w:r>
    </w:p>
    <w:p w14:paraId="30235DC0" w14:textId="77777777" w:rsidR="00072669" w:rsidRDefault="00072669" w:rsidP="008656C5">
      <w:pPr>
        <w:pStyle w:val="Titre4"/>
      </w:pPr>
      <w:r>
        <w:t>Tumeurs épithéliales</w:t>
      </w:r>
      <w:r>
        <w:rPr>
          <w:spacing w:val="-1"/>
        </w:rPr>
        <w:t xml:space="preserve"> </w:t>
      </w:r>
      <w:r>
        <w:t>glandulaires</w:t>
      </w:r>
    </w:p>
    <w:p w14:paraId="384BA4A3" w14:textId="77777777" w:rsidR="004C4F75" w:rsidRPr="004C4F75" w:rsidRDefault="004C4F75" w:rsidP="004C4F75">
      <w:pPr>
        <w:pStyle w:val="listeespace"/>
        <w:rPr>
          <w:iCs/>
        </w:rPr>
      </w:pPr>
      <w:r w:rsidRPr="004C4F75">
        <w:t>Ce sont des adénocarcinomes (&lt; 2% des CNP). Ils peuvent être :</w:t>
      </w:r>
    </w:p>
    <w:p w14:paraId="70C50079" w14:textId="79F7F3A9" w:rsidR="00072669" w:rsidRDefault="00072669" w:rsidP="00A87BFB">
      <w:pPr>
        <w:pStyle w:val="listetoile"/>
      </w:pPr>
      <w:r>
        <w:t>Type glande</w:t>
      </w:r>
      <w:r>
        <w:rPr>
          <w:spacing w:val="-3"/>
        </w:rPr>
        <w:t xml:space="preserve"> </w:t>
      </w:r>
      <w:r>
        <w:t>salivaire</w:t>
      </w:r>
    </w:p>
    <w:p w14:paraId="50B01F76" w14:textId="5EDDB022" w:rsidR="00072669" w:rsidRDefault="00072669" w:rsidP="00A87BFB">
      <w:pPr>
        <w:pStyle w:val="listetoile"/>
      </w:pPr>
      <w:r>
        <w:t>Papillaire</w:t>
      </w:r>
      <w:r w:rsidR="00411985">
        <w:t>s</w:t>
      </w:r>
      <w:r>
        <w:t xml:space="preserve"> : caractérisé</w:t>
      </w:r>
      <w:r w:rsidR="00411985">
        <w:t>s</w:t>
      </w:r>
      <w:r>
        <w:t xml:space="preserve"> par une faible</w:t>
      </w:r>
      <w:r>
        <w:rPr>
          <w:spacing w:val="-5"/>
        </w:rPr>
        <w:t xml:space="preserve"> </w:t>
      </w:r>
      <w:r>
        <w:t>agressivité</w:t>
      </w:r>
    </w:p>
    <w:p w14:paraId="0FB3D54D" w14:textId="77777777" w:rsidR="00072669" w:rsidRDefault="00072669" w:rsidP="008656C5">
      <w:pPr>
        <w:pStyle w:val="Titre4"/>
      </w:pPr>
      <w:r>
        <w:t>Tumeurs des tissus</w:t>
      </w:r>
      <w:r>
        <w:rPr>
          <w:spacing w:val="-1"/>
        </w:rPr>
        <w:t xml:space="preserve"> </w:t>
      </w:r>
      <w:r>
        <w:t>mous</w:t>
      </w:r>
    </w:p>
    <w:p w14:paraId="010A9FE0" w14:textId="08B4F364" w:rsidR="00A87BFB" w:rsidRDefault="00072669" w:rsidP="008656C5">
      <w:pPr>
        <w:pStyle w:val="Corpsdetexte"/>
      </w:pPr>
      <w:r>
        <w:t xml:space="preserve">Il faut signaler particulièrement le rhabdomyosarcome, où le </w:t>
      </w:r>
      <w:r w:rsidR="004C4F75">
        <w:t xml:space="preserve">nasopharynx </w:t>
      </w:r>
      <w:r>
        <w:t xml:space="preserve"> constitue la 2</w:t>
      </w:r>
      <w:r>
        <w:rPr>
          <w:vertAlign w:val="superscript"/>
        </w:rPr>
        <w:t>ème</w:t>
      </w:r>
      <w:r>
        <w:t xml:space="preserve"> localisation après l’orbite chez l’enfant.</w:t>
      </w:r>
    </w:p>
    <w:p w14:paraId="10540F9E" w14:textId="52BD0345" w:rsidR="00A87BFB" w:rsidRDefault="00A87BFB">
      <w:pPr>
        <w:widowControl/>
        <w:autoSpaceDE/>
        <w:autoSpaceDN/>
        <w:adjustRightInd/>
        <w:spacing w:after="160" w:line="259" w:lineRule="auto"/>
        <w:rPr>
          <w:szCs w:val="24"/>
        </w:rPr>
      </w:pPr>
    </w:p>
    <w:p w14:paraId="0FA410FF" w14:textId="3D5A3998" w:rsidR="00072669" w:rsidRDefault="00072669" w:rsidP="008656C5">
      <w:pPr>
        <w:pStyle w:val="Titre1"/>
      </w:pPr>
      <w:r>
        <w:t xml:space="preserve">Décrire les facteurs </w:t>
      </w:r>
      <w:r w:rsidRPr="008656C5">
        <w:t>étiologiques</w:t>
      </w:r>
      <w:r>
        <w:t xml:space="preserve"> du </w:t>
      </w:r>
      <w:r w:rsidR="004C4F75">
        <w:t>CNP :</w:t>
      </w:r>
    </w:p>
    <w:p w14:paraId="3875D976" w14:textId="77777777" w:rsidR="00A87BFB" w:rsidRDefault="00072669" w:rsidP="00A87BFB">
      <w:pPr>
        <w:pStyle w:val="Paragraphedeliste"/>
      </w:pPr>
      <w:r>
        <w:t xml:space="preserve">L’étiologie du cancer du nasopharynx est multifactorielle. </w:t>
      </w:r>
    </w:p>
    <w:p w14:paraId="242CB818" w14:textId="363C0AC4" w:rsidR="00072669" w:rsidRDefault="00072669" w:rsidP="00A87BFB">
      <w:pPr>
        <w:pStyle w:val="Paragraphedeliste"/>
      </w:pPr>
      <w:r>
        <w:t xml:space="preserve">Les données actuellement disponibles suggèrent </w:t>
      </w:r>
      <w:r w:rsidRPr="00A87BFB">
        <w:t>l’interaction</w:t>
      </w:r>
      <w:r>
        <w:t xml:space="preserve"> complexe de facteurs viraux, génétiques, environnementaux et alimentaires dans l’étiologie de la maladie.</w:t>
      </w:r>
    </w:p>
    <w:p w14:paraId="629F2B33" w14:textId="77777777" w:rsidR="00072669" w:rsidRDefault="00072669" w:rsidP="008656C5">
      <w:pPr>
        <w:pStyle w:val="Titre2"/>
      </w:pPr>
      <w:r>
        <w:t>Facteurs</w:t>
      </w:r>
      <w:r>
        <w:rPr>
          <w:spacing w:val="-1"/>
        </w:rPr>
        <w:t xml:space="preserve"> </w:t>
      </w:r>
      <w:r>
        <w:t>viraux</w:t>
      </w:r>
    </w:p>
    <w:p w14:paraId="0F4927BF" w14:textId="77777777" w:rsidR="00072669" w:rsidRDefault="00072669" w:rsidP="00A87BFB">
      <w:pPr>
        <w:pStyle w:val="listet"/>
      </w:pPr>
      <w:r w:rsidRPr="00A87BFB">
        <w:rPr>
          <w:rStyle w:val="bodystrongChar"/>
        </w:rPr>
        <w:t>L’EBV</w:t>
      </w:r>
      <w:r>
        <w:t xml:space="preserve"> est un des facteurs étiologiques les plus importants des CNP. Cette liaison repose sur :</w:t>
      </w:r>
    </w:p>
    <w:p w14:paraId="04868EE0" w14:textId="77777777" w:rsidR="00072669" w:rsidRDefault="00072669" w:rsidP="00A87BFB">
      <w:pPr>
        <w:pStyle w:val="listeniv2"/>
      </w:pPr>
      <w:r>
        <w:t>La présence de taux sériques élevés d’anticorps anti-EBV de type IgA anti-EA et anti- VCA</w:t>
      </w:r>
    </w:p>
    <w:p w14:paraId="3923DB9A" w14:textId="77777777" w:rsidR="00072669" w:rsidRDefault="00072669" w:rsidP="00A87BFB">
      <w:pPr>
        <w:pStyle w:val="listeniv2"/>
      </w:pPr>
      <w:r>
        <w:t>La mise en évidence du génome viral et des marqueurs viraux dans les cellules malignes dont la LMP1 (latent membran protein) qui exerce un pouvoir oncogène très probable. L’ADN viral est détecté dans près de100% des cas dans les CNPs types UCNT.</w:t>
      </w:r>
    </w:p>
    <w:p w14:paraId="2FAC6D93" w14:textId="77777777" w:rsidR="00072669" w:rsidRDefault="00072669" w:rsidP="008656C5">
      <w:pPr>
        <w:pStyle w:val="Titre2"/>
      </w:pPr>
      <w:r>
        <w:t>Facteurs environnementaux et</w:t>
      </w:r>
      <w:r>
        <w:rPr>
          <w:spacing w:val="-2"/>
        </w:rPr>
        <w:t xml:space="preserve"> </w:t>
      </w:r>
      <w:r>
        <w:t>alimentaires</w:t>
      </w:r>
    </w:p>
    <w:p w14:paraId="04F476F3" w14:textId="77777777" w:rsidR="00072669" w:rsidRPr="00A87BFB" w:rsidRDefault="00072669" w:rsidP="00A87BFB">
      <w:pPr>
        <w:pStyle w:val="Paragraphedeliste"/>
      </w:pPr>
      <w:r w:rsidRPr="00A87BFB">
        <w:t>Les nitrosamines volatiles, carcinogènes présents dans les salaisons et fumaisons ont été impliqués dans le développement du CNP surtout en cas de consommation précoce dans l’enfance.</w:t>
      </w:r>
    </w:p>
    <w:p w14:paraId="3183F3E3" w14:textId="77777777" w:rsidR="00072669" w:rsidRPr="00A87BFB" w:rsidRDefault="00072669" w:rsidP="00A87BFB">
      <w:pPr>
        <w:pStyle w:val="Paragraphedeliste"/>
      </w:pPr>
      <w:r w:rsidRPr="00A87BFB">
        <w:t>La consommation d’alcool et tabac est un facteur de risque des carcinomes épidermoïdes kératinisants.</w:t>
      </w:r>
    </w:p>
    <w:p w14:paraId="2E301A5E" w14:textId="77777777" w:rsidR="00072669" w:rsidRDefault="00072669" w:rsidP="008656C5">
      <w:pPr>
        <w:pStyle w:val="Titre2"/>
      </w:pPr>
      <w:r>
        <w:t>Facteurs</w:t>
      </w:r>
      <w:r>
        <w:rPr>
          <w:spacing w:val="-1"/>
        </w:rPr>
        <w:t xml:space="preserve"> </w:t>
      </w:r>
      <w:r>
        <w:t>génétiques</w:t>
      </w:r>
    </w:p>
    <w:p w14:paraId="067045E5" w14:textId="44C4296B" w:rsidR="00A87BFB" w:rsidRDefault="00072669" w:rsidP="00014808">
      <w:pPr>
        <w:pStyle w:val="listeespace"/>
      </w:pPr>
      <w:r>
        <w:t>Plusieurs observations de cas familiaux d’UCNT suggèrent une prédisposition génétique pour ce cancer.</w:t>
      </w:r>
    </w:p>
    <w:p w14:paraId="3475BEB8" w14:textId="77777777" w:rsidR="00A87BFB" w:rsidRDefault="00A87BFB">
      <w:pPr>
        <w:widowControl/>
        <w:autoSpaceDE/>
        <w:autoSpaceDN/>
        <w:adjustRightInd/>
        <w:spacing w:after="160" w:line="259" w:lineRule="auto"/>
        <w:rPr>
          <w:szCs w:val="24"/>
        </w:rPr>
      </w:pPr>
      <w:r>
        <w:lastRenderedPageBreak/>
        <w:br w:type="page"/>
      </w:r>
    </w:p>
    <w:p w14:paraId="1C360915" w14:textId="77777777" w:rsidR="00072669" w:rsidRDefault="00072669" w:rsidP="008656C5">
      <w:pPr>
        <w:pStyle w:val="Titre1"/>
      </w:pPr>
      <w:r>
        <w:lastRenderedPageBreak/>
        <w:t xml:space="preserve">Reconnaître à l’examen </w:t>
      </w:r>
      <w:r w:rsidRPr="008656C5">
        <w:t>clinique</w:t>
      </w:r>
      <w:r>
        <w:t xml:space="preserve"> les signes d’appel d’un cancer du</w:t>
      </w:r>
      <w:r>
        <w:rPr>
          <w:spacing w:val="-8"/>
        </w:rPr>
        <w:t xml:space="preserve"> </w:t>
      </w:r>
      <w:r>
        <w:t>cavum.</w:t>
      </w:r>
    </w:p>
    <w:p w14:paraId="5CAB4617" w14:textId="19231FE8" w:rsidR="00A87BFB" w:rsidRDefault="00072669" w:rsidP="00A87BFB">
      <w:pPr>
        <w:pStyle w:val="Paragraphedeliste"/>
      </w:pPr>
      <w:r>
        <w:t>La situation profonde du nasopharynx, son accès difficile à l’examen, la symptomatologie d’empr</w:t>
      </w:r>
      <w:r w:rsidR="00411985">
        <w:t>unt</w:t>
      </w:r>
      <w:r>
        <w:t xml:space="preserve"> souvent trompeuse</w:t>
      </w:r>
      <w:r w:rsidR="00411985">
        <w:t>,</w:t>
      </w:r>
      <w:r>
        <w:t xml:space="preserve"> liée à l’atteinte des structures anatomiques voisines font de cette localisation un cancer de diagnostic difficile. </w:t>
      </w:r>
    </w:p>
    <w:p w14:paraId="60072885" w14:textId="232401A6" w:rsidR="00072669" w:rsidRDefault="00072669" w:rsidP="00A87BFB">
      <w:pPr>
        <w:pStyle w:val="Paragraphedeliste"/>
      </w:pPr>
      <w:r>
        <w:t xml:space="preserve">Le </w:t>
      </w:r>
      <w:r w:rsidR="009F5339">
        <w:t>CNP</w:t>
      </w:r>
      <w:r>
        <w:t xml:space="preserve"> peut se révéler par :</w:t>
      </w:r>
    </w:p>
    <w:p w14:paraId="0DAA5182" w14:textId="77777777" w:rsidR="00072669" w:rsidRDefault="00072669" w:rsidP="008656C5">
      <w:pPr>
        <w:pStyle w:val="Titre2"/>
      </w:pPr>
      <w:r>
        <w:t>Adénopathies</w:t>
      </w:r>
      <w:r>
        <w:rPr>
          <w:spacing w:val="-1"/>
        </w:rPr>
        <w:t xml:space="preserve"> </w:t>
      </w:r>
      <w:r>
        <w:t>cervicales</w:t>
      </w:r>
    </w:p>
    <w:p w14:paraId="5A059DE0" w14:textId="40F7C593" w:rsidR="00072669" w:rsidRDefault="00072669" w:rsidP="00014808">
      <w:pPr>
        <w:pStyle w:val="Corpsdetexte"/>
      </w:pPr>
      <w:r>
        <w:t>Il s’agit du principal signe révélateur, observé dans plus de 50% des cas avec apparition d’une ou plusieurs adénopathies uni ou bilatérales, le plus souvent hautes et postérieurs avec atteinte spinale haute, sous mastoïdienne et sous digastrique (secteurs II et Va)</w:t>
      </w:r>
      <w:r w:rsidR="00A92B54">
        <w:t>, Généralement non</w:t>
      </w:r>
      <w:r w:rsidR="00014808">
        <w:t xml:space="preserve"> </w:t>
      </w:r>
      <w:r w:rsidR="00A92B54">
        <w:t>douloureuses.</w:t>
      </w:r>
    </w:p>
    <w:p w14:paraId="24867650" w14:textId="77777777" w:rsidR="00072669" w:rsidRDefault="00072669" w:rsidP="008656C5">
      <w:pPr>
        <w:pStyle w:val="Titre2"/>
      </w:pPr>
      <w:r>
        <w:t>Signes</w:t>
      </w:r>
      <w:r>
        <w:rPr>
          <w:spacing w:val="-1"/>
        </w:rPr>
        <w:t xml:space="preserve"> </w:t>
      </w:r>
      <w:r>
        <w:t>rhinologiques</w:t>
      </w:r>
    </w:p>
    <w:p w14:paraId="1786C6BD" w14:textId="77777777" w:rsidR="00D62601" w:rsidRDefault="00D62601" w:rsidP="00A87BFB">
      <w:pPr>
        <w:pStyle w:val="Paragraphedeliste"/>
      </w:pPr>
      <w:r w:rsidRPr="00D62601">
        <w:t xml:space="preserve">Ils sont présents dans 20 à 30% des cas lors de la première consultation. La symptomatologie est souvent faite d’une obstruction nasale, d’épistaxis, d’une rhinorrhée mucosanglante et parfois d’une voix nasonnée. </w:t>
      </w:r>
    </w:p>
    <w:p w14:paraId="0099BA0A" w14:textId="45CEEE69" w:rsidR="00D62601" w:rsidRDefault="00D62601" w:rsidP="00A87BFB">
      <w:pPr>
        <w:pStyle w:val="Paragraphedeliste"/>
      </w:pPr>
      <w:r w:rsidRPr="00D62601">
        <w:t>L’unilatéralité, l’installation progressive et la tendance à la récidive de ces symptômes, doivent</w:t>
      </w:r>
      <w:r>
        <w:t xml:space="preserve"> </w:t>
      </w:r>
      <w:r w:rsidRPr="00D62601">
        <w:t>inciter à pratiquer une endoscopie du nasopharynx.</w:t>
      </w:r>
    </w:p>
    <w:p w14:paraId="1EEEFC00" w14:textId="77777777" w:rsidR="00072669" w:rsidRDefault="00072669" w:rsidP="008656C5">
      <w:pPr>
        <w:pStyle w:val="Titre2"/>
      </w:pPr>
      <w:r>
        <w:t>Signes</w:t>
      </w:r>
      <w:r>
        <w:rPr>
          <w:spacing w:val="-1"/>
        </w:rPr>
        <w:t xml:space="preserve"> </w:t>
      </w:r>
      <w:r>
        <w:t>otologiques</w:t>
      </w:r>
    </w:p>
    <w:p w14:paraId="54DB7B61" w14:textId="77777777" w:rsidR="00411985" w:rsidRDefault="00D62601" w:rsidP="00D62601">
      <w:pPr>
        <w:pStyle w:val="listeespace"/>
      </w:pPr>
      <w:r>
        <w:t xml:space="preserve">Ils sont présents dans 40 à 60% des cas, et traduisent des signes de dysfonctionnement tubaire : bourdonnements d’oreille, hypoacousie et autophonie. </w:t>
      </w:r>
    </w:p>
    <w:p w14:paraId="726D2B3B" w14:textId="77777777" w:rsidR="00411985" w:rsidRDefault="00D62601" w:rsidP="00411985">
      <w:pPr>
        <w:pStyle w:val="Paragraphedeliste"/>
      </w:pPr>
      <w:r>
        <w:t xml:space="preserve">A un stade plus avancé, on peut retrouver une otite séro-muqueuse. </w:t>
      </w:r>
    </w:p>
    <w:p w14:paraId="51463E5A" w14:textId="031908A4" w:rsidR="00072669" w:rsidRPr="00A87BFB" w:rsidRDefault="00D62601" w:rsidP="00411985">
      <w:pPr>
        <w:pStyle w:val="Paragraphedeliste"/>
      </w:pPr>
      <w:r>
        <w:t>Ce qui alerte c’est la prédominance unilatérale, la progression et le caractère douloureux de ces troubles.</w:t>
      </w:r>
    </w:p>
    <w:p w14:paraId="0ED2DEEF" w14:textId="77777777" w:rsidR="00072669" w:rsidRDefault="00072669" w:rsidP="008656C5">
      <w:pPr>
        <w:pStyle w:val="Titre2"/>
      </w:pPr>
      <w:r>
        <w:t>Les signes</w:t>
      </w:r>
      <w:r>
        <w:rPr>
          <w:spacing w:val="-1"/>
        </w:rPr>
        <w:t xml:space="preserve"> </w:t>
      </w:r>
      <w:r>
        <w:t>neuro-ophtalmiques</w:t>
      </w:r>
    </w:p>
    <w:p w14:paraId="4395BA7B" w14:textId="77777777" w:rsidR="00A87BFB" w:rsidRDefault="00072669" w:rsidP="00A87BFB">
      <w:pPr>
        <w:pStyle w:val="listeespace"/>
      </w:pPr>
      <w:r>
        <w:t xml:space="preserve">Les signes neurologiques se voient dans 10 à 15% des cas. </w:t>
      </w:r>
    </w:p>
    <w:p w14:paraId="7B9ED1E2" w14:textId="77777777" w:rsidR="00A87BFB" w:rsidRDefault="00072669" w:rsidP="00A87BFB">
      <w:pPr>
        <w:pStyle w:val="listeespace"/>
      </w:pPr>
      <w:r>
        <w:t xml:space="preserve">Ils peuvent être en rapport avec une atteinte des paires crâniennes notamment </w:t>
      </w:r>
    </w:p>
    <w:p w14:paraId="2CDEDA6F" w14:textId="77777777" w:rsidR="00A87BFB" w:rsidRDefault="00072669" w:rsidP="00A87BFB">
      <w:pPr>
        <w:pStyle w:val="niv15"/>
      </w:pPr>
      <w:r>
        <w:t xml:space="preserve">une diplopie par atteinte du VI ou </w:t>
      </w:r>
    </w:p>
    <w:p w14:paraId="38A72646" w14:textId="77777777" w:rsidR="00A87BFB" w:rsidRDefault="00072669" w:rsidP="00A87BFB">
      <w:pPr>
        <w:pStyle w:val="niv15"/>
      </w:pPr>
      <w:r>
        <w:t xml:space="preserve">une névralgie faciale supérieure par atteinte du V. </w:t>
      </w:r>
    </w:p>
    <w:p w14:paraId="23AFF1CB" w14:textId="77777777" w:rsidR="00A87BFB" w:rsidRDefault="00072669" w:rsidP="00A87BFB">
      <w:pPr>
        <w:pStyle w:val="niv15"/>
      </w:pPr>
      <w:r>
        <w:t xml:space="preserve">Il peut s’agir aussi d’un trismus par atteinte du trijumeau moteur ou par envahissement tumoral des muscles ptérygoïdiens. </w:t>
      </w:r>
    </w:p>
    <w:p w14:paraId="4ABF414D" w14:textId="7F741754" w:rsidR="00072669" w:rsidRDefault="00072669" w:rsidP="00A87BFB">
      <w:pPr>
        <w:pStyle w:val="niv15"/>
      </w:pPr>
      <w:r>
        <w:t>L’atteinte des autres paires crâniennes est rarement</w:t>
      </w:r>
      <w:r>
        <w:rPr>
          <w:spacing w:val="-2"/>
        </w:rPr>
        <w:t xml:space="preserve"> </w:t>
      </w:r>
      <w:r>
        <w:t>révélatrice.</w:t>
      </w:r>
    </w:p>
    <w:p w14:paraId="263915F1" w14:textId="77777777" w:rsidR="00072669" w:rsidRDefault="00072669" w:rsidP="00A87BFB">
      <w:pPr>
        <w:pStyle w:val="listeespace"/>
      </w:pPr>
      <w:r>
        <w:t>Des céphalées par extension tumorale endocrânienne peuvent aussi se voir.</w:t>
      </w:r>
    </w:p>
    <w:p w14:paraId="770B98C3" w14:textId="013E64D7" w:rsidR="00072669" w:rsidRDefault="004C2A48" w:rsidP="00411985">
      <w:pPr>
        <w:pStyle w:val="Paragraphedeliste"/>
      </w:pPr>
      <w:r>
        <w:t xml:space="preserve">Une </w:t>
      </w:r>
      <w:r w:rsidR="00072669">
        <w:t>atteinte oculo-orbitaire, le plus souvent à type d’exophtalmie ou de paralysie oculomotrice, est observée dans 5% des cas.</w:t>
      </w:r>
    </w:p>
    <w:p w14:paraId="12F0655B" w14:textId="77777777" w:rsidR="00072669" w:rsidRDefault="00072669" w:rsidP="00411985">
      <w:pPr>
        <w:pStyle w:val="Paragraphedeliste"/>
      </w:pPr>
      <w:r>
        <w:lastRenderedPageBreak/>
        <w:t>La présence d’un de ces signes doit inciter à réaliser une endoscopie du cavum avec biopsies.</w:t>
      </w:r>
    </w:p>
    <w:p w14:paraId="2B6D18EB" w14:textId="77777777" w:rsidR="00072669" w:rsidRDefault="00072669" w:rsidP="008656C5">
      <w:pPr>
        <w:pStyle w:val="Titre2"/>
      </w:pPr>
      <w:r>
        <w:t>Autres circonstances de</w:t>
      </w:r>
      <w:r>
        <w:rPr>
          <w:spacing w:val="-2"/>
        </w:rPr>
        <w:t xml:space="preserve"> </w:t>
      </w:r>
      <w:r>
        <w:t>découverte</w:t>
      </w:r>
    </w:p>
    <w:p w14:paraId="1361C671" w14:textId="77777777" w:rsidR="00072669" w:rsidRPr="00A87BFB" w:rsidRDefault="00072669" w:rsidP="00A87BFB">
      <w:pPr>
        <w:pStyle w:val="Paragraphedeliste"/>
      </w:pPr>
      <w:r w:rsidRPr="00A87BFB">
        <w:t>Métastase à distance surtout osseuse</w:t>
      </w:r>
    </w:p>
    <w:p w14:paraId="0BFD8F09" w14:textId="75540A43" w:rsidR="00C24824" w:rsidRDefault="00072669" w:rsidP="00014808">
      <w:pPr>
        <w:pStyle w:val="Paragraphedeliste"/>
      </w:pPr>
      <w:r w:rsidRPr="00A87BFB">
        <w:t>Syndrome paranéoplasique</w:t>
      </w:r>
    </w:p>
    <w:p w14:paraId="36B27050" w14:textId="77777777" w:rsidR="00A87BFB" w:rsidRDefault="00072669" w:rsidP="008656C5">
      <w:pPr>
        <w:pStyle w:val="Titre1"/>
      </w:pPr>
      <w:r>
        <w:t xml:space="preserve">Etablir le diagnostic positif d’un cancer du cavum. </w:t>
      </w:r>
    </w:p>
    <w:p w14:paraId="7C451850" w14:textId="585BD951" w:rsidR="00072669" w:rsidRDefault="00072669" w:rsidP="00A87BFB">
      <w:pPr>
        <w:pStyle w:val="Titre2"/>
      </w:pPr>
      <w:r>
        <w:t>Diagnostic</w:t>
      </w:r>
      <w:r>
        <w:rPr>
          <w:spacing w:val="-2"/>
        </w:rPr>
        <w:t xml:space="preserve"> </w:t>
      </w:r>
      <w:r>
        <w:t>positif</w:t>
      </w:r>
    </w:p>
    <w:p w14:paraId="01C2C228" w14:textId="77777777" w:rsidR="00072669" w:rsidRDefault="00072669" w:rsidP="008656C5">
      <w:pPr>
        <w:pStyle w:val="Corpsdetexte"/>
      </w:pPr>
      <w:r>
        <w:t>TDD : UCNT du cavum de l’adulte (forme la plus fréquente)</w:t>
      </w:r>
    </w:p>
    <w:p w14:paraId="279F2D35" w14:textId="77777777" w:rsidR="00072669" w:rsidRDefault="00072669" w:rsidP="00A87BFB">
      <w:pPr>
        <w:pStyle w:val="Titre3"/>
      </w:pPr>
      <w:r>
        <w:t>Interrogatoire</w:t>
      </w:r>
    </w:p>
    <w:p w14:paraId="20961855" w14:textId="030965C4" w:rsidR="00072669" w:rsidRDefault="00072669" w:rsidP="008656C5">
      <w:pPr>
        <w:pStyle w:val="Corpsdetexte"/>
      </w:pPr>
      <w:r>
        <w:t>L’examen ORL débute par l’anamnèse à la recherche :</w:t>
      </w:r>
    </w:p>
    <w:p w14:paraId="393049B3" w14:textId="076D59F0" w:rsidR="00072669" w:rsidRDefault="00072669" w:rsidP="00042215">
      <w:pPr>
        <w:pStyle w:val="listetoile"/>
      </w:pPr>
      <w:r>
        <w:t>D’un contexte régional ou familial particulier de cancer du</w:t>
      </w:r>
      <w:r>
        <w:rPr>
          <w:spacing w:val="-7"/>
        </w:rPr>
        <w:t xml:space="preserve"> </w:t>
      </w:r>
      <w:r w:rsidR="009F5339">
        <w:t>nasopharynx</w:t>
      </w:r>
    </w:p>
    <w:p w14:paraId="0B59A646" w14:textId="26B2CFDE" w:rsidR="00014808" w:rsidRDefault="00072669" w:rsidP="00014808">
      <w:pPr>
        <w:pStyle w:val="listetoile"/>
      </w:pPr>
      <w:r>
        <w:t>Soit d’une symptomatologie ORL et /ou neuro-ophtalmique de début en précisant la chronologie des</w:t>
      </w:r>
      <w:r>
        <w:rPr>
          <w:spacing w:val="-2"/>
        </w:rPr>
        <w:t xml:space="preserve"> </w:t>
      </w:r>
      <w:r>
        <w:t>symptômes.</w:t>
      </w:r>
    </w:p>
    <w:p w14:paraId="5DBA7CAB" w14:textId="77777777" w:rsidR="00072669" w:rsidRDefault="00072669" w:rsidP="00A87BFB">
      <w:pPr>
        <w:pStyle w:val="Titre3"/>
      </w:pPr>
      <w:r>
        <w:t>Examen</w:t>
      </w:r>
      <w:r>
        <w:rPr>
          <w:spacing w:val="-1"/>
        </w:rPr>
        <w:t xml:space="preserve"> </w:t>
      </w:r>
      <w:r>
        <w:t>clinique</w:t>
      </w:r>
    </w:p>
    <w:p w14:paraId="564D879C" w14:textId="77777777" w:rsidR="00072669" w:rsidRDefault="00072669" w:rsidP="00A87BFB">
      <w:pPr>
        <w:pStyle w:val="Titre4"/>
      </w:pPr>
      <w:r>
        <w:t>Examen du</w:t>
      </w:r>
      <w:r>
        <w:rPr>
          <w:spacing w:val="-1"/>
        </w:rPr>
        <w:t xml:space="preserve"> </w:t>
      </w:r>
      <w:r>
        <w:t>cavum</w:t>
      </w:r>
    </w:p>
    <w:p w14:paraId="77583D31" w14:textId="77777777" w:rsidR="00072669" w:rsidRPr="00042215" w:rsidRDefault="00072669" w:rsidP="00042215">
      <w:pPr>
        <w:pStyle w:val="Titre5"/>
      </w:pPr>
      <w:r w:rsidRPr="00042215">
        <w:t>Rhinoscopie antérieure</w:t>
      </w:r>
    </w:p>
    <w:p w14:paraId="5C2657B4" w14:textId="77777777" w:rsidR="00042215" w:rsidRDefault="00072669" w:rsidP="00042215">
      <w:pPr>
        <w:pStyle w:val="listeespace"/>
      </w:pPr>
      <w:r>
        <w:t xml:space="preserve">L’examen se fait après rétraction de la muqueuse par un anesthésique local associé à un vasoconstricteur. </w:t>
      </w:r>
    </w:p>
    <w:p w14:paraId="0F30729F" w14:textId="6D9A867D" w:rsidR="00072669" w:rsidRDefault="00072669" w:rsidP="00042215">
      <w:pPr>
        <w:pStyle w:val="Paragraphedeliste"/>
      </w:pPr>
      <w:r>
        <w:t>La rhinoscopie antérieure est en général négative sauf s’il existe une extension importante au niveau de la fosse nasale.</w:t>
      </w:r>
    </w:p>
    <w:p w14:paraId="50A9EDF1" w14:textId="77777777" w:rsidR="00072669" w:rsidRDefault="00072669" w:rsidP="00042215">
      <w:pPr>
        <w:pStyle w:val="Titre5"/>
      </w:pPr>
      <w:r>
        <w:t>Endoscopie</w:t>
      </w:r>
      <w:r>
        <w:rPr>
          <w:spacing w:val="-2"/>
        </w:rPr>
        <w:t xml:space="preserve"> </w:t>
      </w:r>
      <w:r>
        <w:t>nasopharyngienne</w:t>
      </w:r>
    </w:p>
    <w:p w14:paraId="4159F8CD" w14:textId="77777777" w:rsidR="00D62601" w:rsidRDefault="00D62601" w:rsidP="00D62601">
      <w:pPr>
        <w:pStyle w:val="listeespace"/>
      </w:pPr>
      <w:r>
        <w:t>C’est la technique de choix pour voir le nasopharynx. Elle se fait à l’aide d’une optique ou d’un nasofibroscope souple.</w:t>
      </w:r>
    </w:p>
    <w:p w14:paraId="33AAAC30" w14:textId="77777777" w:rsidR="00D62601" w:rsidRDefault="00D62601" w:rsidP="00D62601">
      <w:pPr>
        <w:pStyle w:val="listeespace"/>
      </w:pPr>
      <w:r>
        <w:t>Cet examen très précieux permet, de préciser le point de départ de la tumeur, son volume, ses extensions locales, son aspect et surtout de pratiquer des biopsies dirigées, élément clé du diagnostic. La tumeur est souvent d’aspect bourgeonnant, siégeant au niveau de la paroi postérieure, postéro-supérieure ou latérale, et saignant au contact.</w:t>
      </w:r>
    </w:p>
    <w:p w14:paraId="0DB8B06B" w14:textId="359C6D81" w:rsidR="00D62601" w:rsidRDefault="00D62601" w:rsidP="00D62601">
      <w:pPr>
        <w:pStyle w:val="listeespace"/>
      </w:pPr>
      <w:r>
        <w:t>Chez l’enfant, devant une formation bourgeonnante du nasopharynx, on doit éliminer le diagnostic de reliquat de végétation adénoïde.</w:t>
      </w:r>
    </w:p>
    <w:p w14:paraId="5ABB9698" w14:textId="77777777" w:rsidR="00072669" w:rsidRDefault="00072669" w:rsidP="00042215">
      <w:pPr>
        <w:pStyle w:val="Titre4"/>
      </w:pPr>
      <w:r>
        <w:t>Examen</w:t>
      </w:r>
      <w:r>
        <w:rPr>
          <w:spacing w:val="-1"/>
        </w:rPr>
        <w:t xml:space="preserve"> </w:t>
      </w:r>
      <w:r>
        <w:t>otoscopique</w:t>
      </w:r>
    </w:p>
    <w:p w14:paraId="5A25A1C2" w14:textId="77777777" w:rsidR="00042215" w:rsidRDefault="00072669" w:rsidP="00042215">
      <w:pPr>
        <w:pStyle w:val="listeespace"/>
      </w:pPr>
      <w:r>
        <w:t xml:space="preserve">Il est systématique. </w:t>
      </w:r>
    </w:p>
    <w:p w14:paraId="61DDCD6C" w14:textId="7600A3F3" w:rsidR="00042215" w:rsidRDefault="00072669" w:rsidP="00042215">
      <w:pPr>
        <w:pStyle w:val="listeespace"/>
      </w:pPr>
      <w:r>
        <w:lastRenderedPageBreak/>
        <w:t>Il peut être normal en cas de tumeur localisée du toit, ou permet</w:t>
      </w:r>
      <w:r w:rsidR="00C24824">
        <w:t>tre</w:t>
      </w:r>
      <w:r>
        <w:t xml:space="preserve"> d’évoquer le diagnostic dans les cas typiques en mettant en évidence un aspect d’otite séreuse. </w:t>
      </w:r>
    </w:p>
    <w:p w14:paraId="698D2067" w14:textId="6DBF2AC8" w:rsidR="00072669" w:rsidRDefault="00072669" w:rsidP="00042215">
      <w:pPr>
        <w:pStyle w:val="listeespace"/>
      </w:pPr>
      <w:r>
        <w:t xml:space="preserve">Cette otoscopie est complétée par une acoumétrie au diapason à la recherche d’une surdité de transmission avec un Rinne négatif et un Weber latéralisé vers le coté </w:t>
      </w:r>
      <w:r w:rsidR="00D62601">
        <w:t>le plus atteint.</w:t>
      </w:r>
    </w:p>
    <w:p w14:paraId="662111CB" w14:textId="77777777" w:rsidR="00072669" w:rsidRDefault="00072669" w:rsidP="00042215">
      <w:pPr>
        <w:pStyle w:val="Titre4"/>
      </w:pPr>
      <w:r>
        <w:t>Examen de la cavité buccale et de</w:t>
      </w:r>
      <w:r>
        <w:rPr>
          <w:spacing w:val="-6"/>
        </w:rPr>
        <w:t xml:space="preserve"> </w:t>
      </w:r>
      <w:r>
        <w:t>l’oropharynx</w:t>
      </w:r>
    </w:p>
    <w:p w14:paraId="1DB474AF" w14:textId="6CE2C6A1" w:rsidR="00072669" w:rsidRDefault="00C24824" w:rsidP="00042215">
      <w:pPr>
        <w:pStyle w:val="Paragraphedeliste"/>
      </w:pPr>
      <w:r w:rsidRPr="00C24824">
        <w:t xml:space="preserve">Il recherche </w:t>
      </w:r>
      <w:r w:rsidR="00072669">
        <w:t>la présence d’un trismus.</w:t>
      </w:r>
    </w:p>
    <w:p w14:paraId="5117460D" w14:textId="6E0E7E5D" w:rsidR="00042215" w:rsidRDefault="00072669" w:rsidP="00002721">
      <w:pPr>
        <w:pStyle w:val="Paragraphedeliste"/>
        <w:ind w:right="-455"/>
      </w:pPr>
      <w:r>
        <w:t>L’examen de la cavité buccale apprécie</w:t>
      </w:r>
      <w:r w:rsidR="00002721">
        <w:t xml:space="preserve"> aussi</w:t>
      </w:r>
      <w:r>
        <w:t xml:space="preserve"> la mobilité de la langue dans le cadre d’</w:t>
      </w:r>
      <w:r w:rsidR="00002721">
        <w:t xml:space="preserve">une </w:t>
      </w:r>
      <w:r>
        <w:t xml:space="preserve">atteinte du nerf XII. </w:t>
      </w:r>
    </w:p>
    <w:p w14:paraId="2EED328B" w14:textId="74454081" w:rsidR="00072669" w:rsidRDefault="00072669" w:rsidP="00042215">
      <w:pPr>
        <w:pStyle w:val="Paragraphedeliste"/>
      </w:pPr>
      <w:r>
        <w:t xml:space="preserve">L’examen de l’oropharynx </w:t>
      </w:r>
      <w:r w:rsidR="00002721">
        <w:t>re</w:t>
      </w:r>
      <w:r>
        <w:t>cherche une extension vers la paroi postérieure du pharynx ou des signes d’atteinte des nerfs mixtes (signe du rideau et absence de reflexe nauséeux par atteinte du IX et du</w:t>
      </w:r>
      <w:r>
        <w:rPr>
          <w:spacing w:val="-2"/>
        </w:rPr>
        <w:t xml:space="preserve"> </w:t>
      </w:r>
      <w:r>
        <w:t>X).</w:t>
      </w:r>
    </w:p>
    <w:p w14:paraId="5CB8D796" w14:textId="77777777" w:rsidR="00072669" w:rsidRDefault="00072669" w:rsidP="00042215">
      <w:pPr>
        <w:pStyle w:val="Paragraphedeliste"/>
      </w:pPr>
      <w:r>
        <w:t>L’appréciation de l’état dentaire par l’examen de la cavité buccale est important afin d’évaluer les soins et extractions nécessaires avant la radiothérapie.</w:t>
      </w:r>
    </w:p>
    <w:p w14:paraId="3A336E35" w14:textId="77777777" w:rsidR="00072669" w:rsidRDefault="00072669" w:rsidP="00042215">
      <w:pPr>
        <w:pStyle w:val="Titre4"/>
      </w:pPr>
      <w:r>
        <w:t>Examen</w:t>
      </w:r>
      <w:r>
        <w:rPr>
          <w:spacing w:val="-1"/>
        </w:rPr>
        <w:t xml:space="preserve"> </w:t>
      </w:r>
      <w:r>
        <w:t>cervical</w:t>
      </w:r>
    </w:p>
    <w:p w14:paraId="5D72DFB2" w14:textId="77777777" w:rsidR="009509D6" w:rsidRDefault="009509D6" w:rsidP="00042215">
      <w:pPr>
        <w:pStyle w:val="Paragraphedeliste"/>
      </w:pPr>
      <w:r w:rsidRPr="009509D6">
        <w:t xml:space="preserve">Il recherche minutieusement des adénopathies cervicales (présentes dans ¾ des cas). Toutes les chaînes ganglionnaires doivent être palpées. </w:t>
      </w:r>
    </w:p>
    <w:p w14:paraId="648781AE" w14:textId="77777777" w:rsidR="009509D6" w:rsidRDefault="009509D6" w:rsidP="00042215">
      <w:pPr>
        <w:pStyle w:val="Paragraphedeliste"/>
      </w:pPr>
      <w:r w:rsidRPr="009509D6">
        <w:t>L’examen doit préciser le siège, la taille, le nombre, la consistance, la fixité par rapport au plan profond et superficiel et l’état de la peau en regard.</w:t>
      </w:r>
    </w:p>
    <w:p w14:paraId="37912D94" w14:textId="1AFC8503" w:rsidR="009509D6" w:rsidRDefault="009509D6" w:rsidP="00042215">
      <w:pPr>
        <w:pStyle w:val="Paragraphedeliste"/>
      </w:pPr>
      <w:r w:rsidRPr="009509D6">
        <w:t xml:space="preserve"> Classiquement les</w:t>
      </w:r>
      <w:r>
        <w:t xml:space="preserve"> </w:t>
      </w:r>
      <w:r w:rsidRPr="009509D6">
        <w:t>adénopathies sont multiples, bilatérales, de siège haut et postérieur, dures et fixées par rapport au plan profond. Le résultat est toujours consigné sur un schéma daté.</w:t>
      </w:r>
    </w:p>
    <w:p w14:paraId="44B38341" w14:textId="77777777" w:rsidR="00072669" w:rsidRDefault="00072669" w:rsidP="00042215">
      <w:pPr>
        <w:pStyle w:val="Titre4"/>
      </w:pPr>
      <w:r>
        <w:t>Examen neurologique et des paires</w:t>
      </w:r>
      <w:r>
        <w:rPr>
          <w:spacing w:val="-3"/>
        </w:rPr>
        <w:t xml:space="preserve"> </w:t>
      </w:r>
      <w:r>
        <w:t>crâniennes</w:t>
      </w:r>
    </w:p>
    <w:p w14:paraId="35BF1D38" w14:textId="77777777" w:rsidR="00072669" w:rsidRPr="00042215" w:rsidRDefault="00072669" w:rsidP="00042215">
      <w:pPr>
        <w:pStyle w:val="listeespace"/>
      </w:pPr>
      <w:r w:rsidRPr="00042215">
        <w:t>Les nerfs crâniens sont atteints dans 10 à 15% des cas, leur exploration doit être systématique.</w:t>
      </w:r>
    </w:p>
    <w:p w14:paraId="7FD0C78E" w14:textId="77777777" w:rsidR="00072669" w:rsidRPr="00042215" w:rsidRDefault="00072669" w:rsidP="00042215">
      <w:pPr>
        <w:pStyle w:val="listeespace"/>
      </w:pPr>
      <w:r w:rsidRPr="00042215">
        <w:t>L’atteinte des nerfs crâniens peut se faire par</w:t>
      </w:r>
    </w:p>
    <w:p w14:paraId="0784871A" w14:textId="77777777" w:rsidR="00072669" w:rsidRDefault="00072669" w:rsidP="00042215">
      <w:pPr>
        <w:pStyle w:val="listetoile"/>
      </w:pPr>
      <w:r>
        <w:t>extension à l’espace rétrostylien (IX, X, XI, XII), à la fosse infratemporale</w:t>
      </w:r>
      <w:r>
        <w:rPr>
          <w:spacing w:val="-16"/>
        </w:rPr>
        <w:t xml:space="preserve"> </w:t>
      </w:r>
      <w:r>
        <w:t>(V3),</w:t>
      </w:r>
    </w:p>
    <w:p w14:paraId="023FB54F" w14:textId="77777777" w:rsidR="00072669" w:rsidRDefault="00072669" w:rsidP="00042215">
      <w:pPr>
        <w:pStyle w:val="listetoile"/>
      </w:pPr>
      <w:r>
        <w:t>extension à travers les foramens de la base du crâne : foramen jugulaire (IX, X, XI), foramen condylien (XII), foramen ovale</w:t>
      </w:r>
      <w:r>
        <w:rPr>
          <w:spacing w:val="-2"/>
        </w:rPr>
        <w:t xml:space="preserve"> </w:t>
      </w:r>
      <w:r>
        <w:t>(V3)</w:t>
      </w:r>
    </w:p>
    <w:p w14:paraId="316B14CF" w14:textId="20D977BB" w:rsidR="00A1007C" w:rsidRDefault="00072669" w:rsidP="00042215">
      <w:pPr>
        <w:pStyle w:val="listetoile"/>
      </w:pPr>
      <w:r>
        <w:t>extension endocrânienne avec atteinte du sinus caverneux (III, IV, VI, V1et V2</w:t>
      </w:r>
      <w:r w:rsidR="00014808">
        <w:t>)</w:t>
      </w:r>
    </w:p>
    <w:p w14:paraId="3661E716" w14:textId="06904418" w:rsidR="00E37FAB" w:rsidRPr="00014808" w:rsidRDefault="00A92B54" w:rsidP="00014808">
      <w:pPr>
        <w:pStyle w:val="listeespace"/>
      </w:pPr>
      <w:r w:rsidRPr="00A92B54">
        <w:t>L’atteinte unilatérale de tous les nerfs crâniens réalise le syndrome de Garcin</w:t>
      </w:r>
    </w:p>
    <w:p w14:paraId="3EE3337A" w14:textId="77777777" w:rsidR="00072669" w:rsidRDefault="00072669" w:rsidP="00042215">
      <w:pPr>
        <w:pStyle w:val="Titre4"/>
      </w:pPr>
      <w:r>
        <w:t>Examen</w:t>
      </w:r>
      <w:r>
        <w:rPr>
          <w:spacing w:val="-1"/>
        </w:rPr>
        <w:t xml:space="preserve"> </w:t>
      </w:r>
      <w:r>
        <w:t>général</w:t>
      </w:r>
    </w:p>
    <w:p w14:paraId="2D3AA4F7" w14:textId="77777777" w:rsidR="00072669" w:rsidRDefault="00072669" w:rsidP="00042215">
      <w:pPr>
        <w:pStyle w:val="listeespace"/>
      </w:pPr>
      <w:r>
        <w:t>L’évaluation de l’état général du patient se fait selon l’index de Karnofsky ou de l’OMS.</w:t>
      </w:r>
    </w:p>
    <w:p w14:paraId="07E78FB8" w14:textId="77777777" w:rsidR="00042215" w:rsidRDefault="00072669" w:rsidP="00042215">
      <w:pPr>
        <w:pStyle w:val="listeespace"/>
      </w:pPr>
      <w:r>
        <w:t xml:space="preserve">Il recherche des symptômes suggestifs de métastases (&lt; 10%) </w:t>
      </w:r>
    </w:p>
    <w:p w14:paraId="4B7B67BD" w14:textId="137D87F6" w:rsidR="00042215" w:rsidRDefault="00072669" w:rsidP="00042215">
      <w:pPr>
        <w:pStyle w:val="niv15"/>
      </w:pPr>
      <w:r>
        <w:t>surtout osseuse</w:t>
      </w:r>
      <w:r w:rsidR="009509D6">
        <w:t xml:space="preserve"> révélé </w:t>
      </w:r>
      <w:r>
        <w:t xml:space="preserve">par une douleur ou une tuméfaction, </w:t>
      </w:r>
    </w:p>
    <w:p w14:paraId="4F6905B4" w14:textId="77777777" w:rsidR="00042215" w:rsidRDefault="00072669" w:rsidP="00042215">
      <w:pPr>
        <w:pStyle w:val="niv15"/>
      </w:pPr>
      <w:r>
        <w:t xml:space="preserve">plus rarement hépatique devant une hépatomégalie ou un ictère, </w:t>
      </w:r>
    </w:p>
    <w:p w14:paraId="3DD762CF" w14:textId="5847A3F0" w:rsidR="00072669" w:rsidRDefault="00072669" w:rsidP="00042215">
      <w:pPr>
        <w:pStyle w:val="niv15"/>
      </w:pPr>
      <w:r>
        <w:t>ou pulmonaires devant des douleurs thoraciques ou une gêne respiratoire.</w:t>
      </w:r>
    </w:p>
    <w:p w14:paraId="7FEB32C1" w14:textId="77777777" w:rsidR="00042215" w:rsidRDefault="00072669" w:rsidP="00042215">
      <w:pPr>
        <w:pStyle w:val="listeespace"/>
      </w:pPr>
      <w:r>
        <w:lastRenderedPageBreak/>
        <w:t xml:space="preserve">L’examen général recherche aussi </w:t>
      </w:r>
      <w:r w:rsidRPr="00042215">
        <w:rPr>
          <w:rStyle w:val="bodystrongChar"/>
        </w:rPr>
        <w:t>un syndrome paranéoplasique</w:t>
      </w:r>
      <w:r>
        <w:t xml:space="preserve"> qui est présent dans moins  de 5% des cas. </w:t>
      </w:r>
    </w:p>
    <w:p w14:paraId="1634990D" w14:textId="77777777" w:rsidR="00042215" w:rsidRDefault="00072669" w:rsidP="00042215">
      <w:pPr>
        <w:pStyle w:val="niv15"/>
      </w:pPr>
      <w:r>
        <w:t xml:space="preserve">Il s’agit de l’ensemble des manifestations cliniques, radiologiques, et/ou biologiques dont l’apparition est liée au cancer. </w:t>
      </w:r>
    </w:p>
    <w:p w14:paraId="0A0385E8" w14:textId="77777777" w:rsidR="00042215" w:rsidRDefault="00072669" w:rsidP="00042215">
      <w:pPr>
        <w:pStyle w:val="niv15"/>
      </w:pPr>
      <w:r>
        <w:t xml:space="preserve">Elles évoluent et disparaissent avec lui, pouvant réapparaitre lors d’une rechute ou d’une métastase. </w:t>
      </w:r>
    </w:p>
    <w:p w14:paraId="37FB0CAB" w14:textId="77777777" w:rsidR="00042215" w:rsidRDefault="00072669" w:rsidP="00042215">
      <w:pPr>
        <w:pStyle w:val="niv15"/>
      </w:pPr>
      <w:r>
        <w:t xml:space="preserve">Ces syndromes sont surtout l’apanage du sujet jeune. </w:t>
      </w:r>
    </w:p>
    <w:p w14:paraId="0AF67931" w14:textId="0BECF4AC" w:rsidR="00072669" w:rsidRPr="00E37FAB" w:rsidRDefault="00072669" w:rsidP="00042215">
      <w:pPr>
        <w:pStyle w:val="niv15"/>
        <w:rPr>
          <w:rStyle w:val="bodystrongChar"/>
          <w:b w:val="0"/>
          <w:bCs w:val="0"/>
          <w:i w:val="0"/>
          <w:iCs w:val="0"/>
        </w:rPr>
      </w:pPr>
      <w:r>
        <w:t xml:space="preserve">Il peut s’agir </w:t>
      </w:r>
      <w:r w:rsidRPr="00042215">
        <w:rPr>
          <w:rStyle w:val="CorpsdetexteCar"/>
        </w:rPr>
        <w:t>d’une</w:t>
      </w:r>
      <w:r w:rsidRPr="00042215">
        <w:rPr>
          <w:rStyle w:val="bodystrongChar"/>
        </w:rPr>
        <w:t xml:space="preserve"> fièvre</w:t>
      </w:r>
      <w:r>
        <w:t>,</w:t>
      </w:r>
      <w:r w:rsidRPr="00042215">
        <w:rPr>
          <w:rStyle w:val="CorpsdetexteCar"/>
        </w:rPr>
        <w:t xml:space="preserve"> d’une</w:t>
      </w:r>
      <w:r w:rsidRPr="00042215">
        <w:rPr>
          <w:rStyle w:val="bodystrongChar"/>
        </w:rPr>
        <w:t xml:space="preserve"> réaction leucémoide</w:t>
      </w:r>
      <w:r>
        <w:t xml:space="preserve">, </w:t>
      </w:r>
      <w:r w:rsidRPr="00042215">
        <w:rPr>
          <w:rStyle w:val="CorpsdetexteCar"/>
        </w:rPr>
        <w:t xml:space="preserve">d’un </w:t>
      </w:r>
      <w:r w:rsidRPr="00042215">
        <w:rPr>
          <w:rStyle w:val="bodystrongChar"/>
        </w:rPr>
        <w:t>hippocratisme digital</w:t>
      </w:r>
      <w:r>
        <w:t xml:space="preserve">, d’une </w:t>
      </w:r>
      <w:r w:rsidRPr="00042215">
        <w:rPr>
          <w:rStyle w:val="bodystrongChar"/>
        </w:rPr>
        <w:t>dermatomyosite</w:t>
      </w:r>
      <w:r>
        <w:t xml:space="preserve"> ou d’un </w:t>
      </w:r>
      <w:r w:rsidRPr="00042215">
        <w:rPr>
          <w:rStyle w:val="bodystrongChar"/>
        </w:rPr>
        <w:t>syndrome de Pierre Marie.</w:t>
      </w:r>
    </w:p>
    <w:p w14:paraId="1C732DD9" w14:textId="77777777" w:rsidR="00E37FAB" w:rsidRDefault="00E37FAB" w:rsidP="00E37FAB">
      <w:pPr>
        <w:pStyle w:val="Corpsdetexte"/>
      </w:pPr>
    </w:p>
    <w:p w14:paraId="2C94060C" w14:textId="77777777" w:rsidR="00072669" w:rsidRDefault="00072669" w:rsidP="00042215">
      <w:pPr>
        <w:pStyle w:val="Titre3"/>
      </w:pPr>
      <w:r>
        <w:t xml:space="preserve">Biopsie </w:t>
      </w:r>
    </w:p>
    <w:p w14:paraId="6FF82DD1" w14:textId="77777777" w:rsidR="009509D6" w:rsidRPr="009509D6" w:rsidRDefault="009509D6" w:rsidP="009509D6">
      <w:pPr>
        <w:pStyle w:val="listeespace"/>
      </w:pPr>
      <w:r w:rsidRPr="009509D6">
        <w:t>L’examen histologique est l’élément clé du diagnostic. Il repose sur la biopsie du cavum, guidée par une vision endoscopique directe. Une biopsie négative doit être répétée plusieurs fois si une forte suspicion clinique est présente.</w:t>
      </w:r>
    </w:p>
    <w:p w14:paraId="1F02B073" w14:textId="77777777" w:rsidR="009509D6" w:rsidRPr="009509D6" w:rsidRDefault="009509D6" w:rsidP="009509D6">
      <w:pPr>
        <w:pStyle w:val="listeespace"/>
      </w:pPr>
      <w:r w:rsidRPr="009509D6">
        <w:t>Parfois on a recours à une anesthésie générale, afin de pouvoir effectuer un prélèvement profond après incision de la muqueuse nasopharyngée, dans le cas de tumeurs sous-muqueuses de type infiltrant.</w:t>
      </w:r>
    </w:p>
    <w:p w14:paraId="4537F9A1" w14:textId="77777777" w:rsidR="009509D6" w:rsidRPr="009509D6" w:rsidRDefault="009509D6" w:rsidP="009509D6">
      <w:pPr>
        <w:pStyle w:val="listeespace"/>
      </w:pPr>
      <w:r w:rsidRPr="009509D6">
        <w:t>La biopsie est à proscrire si on suspecte un fibrome nasopharyngien (tumeur bénigne hyper- vascularisé qui se voit chez le sujet jeune masculin et qui se révèle le plus souvent par des épistaxis), dont l’imagerie orientera vers le diagnostic.</w:t>
      </w:r>
    </w:p>
    <w:p w14:paraId="0F7064C4" w14:textId="77777777" w:rsidR="009509D6" w:rsidRPr="009509D6" w:rsidRDefault="009509D6" w:rsidP="009509D6">
      <w:pPr>
        <w:pStyle w:val="listeespace"/>
      </w:pPr>
      <w:r w:rsidRPr="009509D6">
        <w:t>La biopsie ganglionnaire voir l’adénectomie est à proscrire. Elle est considérée par plusieurs auteurs comme un facteur de mauvais pronostic.</w:t>
      </w:r>
    </w:p>
    <w:p w14:paraId="31B94D0F" w14:textId="65D66D6C" w:rsidR="00E37FAB" w:rsidRDefault="009509D6" w:rsidP="009509D6">
      <w:pPr>
        <w:pStyle w:val="listeespace"/>
      </w:pPr>
      <w:r w:rsidRPr="009509D6">
        <w:t>Par contre, une ponction cytologique ganglionnaire à l’aiguille fine peut aider à orienter le diagnostic devant une adénopathie cervicale d’apparence primitive.</w:t>
      </w:r>
      <w:r w:rsidR="00E37FAB">
        <w:br w:type="page"/>
      </w:r>
    </w:p>
    <w:p w14:paraId="04A18B14" w14:textId="77777777" w:rsidR="00072669" w:rsidRDefault="00072669" w:rsidP="00042215">
      <w:pPr>
        <w:pStyle w:val="Titre2"/>
      </w:pPr>
      <w:r>
        <w:lastRenderedPageBreak/>
        <w:t>Formes</w:t>
      </w:r>
      <w:r>
        <w:rPr>
          <w:spacing w:val="-1"/>
        </w:rPr>
        <w:t xml:space="preserve"> </w:t>
      </w:r>
      <w:r>
        <w:t>cliniques</w:t>
      </w:r>
    </w:p>
    <w:p w14:paraId="4D4EFB79" w14:textId="77777777" w:rsidR="00042215" w:rsidRDefault="00072669" w:rsidP="00042215">
      <w:pPr>
        <w:pStyle w:val="Titre3"/>
      </w:pPr>
      <w:r>
        <w:t xml:space="preserve">Formes selon l’âge </w:t>
      </w:r>
    </w:p>
    <w:p w14:paraId="44611F4F" w14:textId="6A1238E1" w:rsidR="00072669" w:rsidRDefault="00072669" w:rsidP="00042215">
      <w:pPr>
        <w:pStyle w:val="Titre4"/>
      </w:pPr>
      <w:r>
        <w:t>Forme de</w:t>
      </w:r>
      <w:r>
        <w:rPr>
          <w:spacing w:val="5"/>
        </w:rPr>
        <w:t xml:space="preserve"> </w:t>
      </w:r>
      <w:r>
        <w:rPr>
          <w:spacing w:val="-3"/>
        </w:rPr>
        <w:t>l’enfant</w:t>
      </w:r>
    </w:p>
    <w:p w14:paraId="5CFAF782" w14:textId="77777777" w:rsidR="00072669" w:rsidRDefault="00072669" w:rsidP="00E37FAB">
      <w:pPr>
        <w:pStyle w:val="listeespace"/>
      </w:pPr>
      <w:r>
        <w:t>L’atteinte de l’enfant est fréquente au Maghreb ce qui explique la répartition bimodale dans ces pays et le pic entre 10-24 ans.</w:t>
      </w:r>
    </w:p>
    <w:p w14:paraId="4358BB8A" w14:textId="77777777" w:rsidR="00AD462C" w:rsidRDefault="00072669" w:rsidP="00AD462C">
      <w:pPr>
        <w:pStyle w:val="Paragraphedeliste"/>
      </w:pPr>
      <w:r>
        <w:t>Avant 15 ans, le CNP représente 35% des cancers ORL chez l’enfant</w:t>
      </w:r>
      <w:r w:rsidR="00AD462C">
        <w:t xml:space="preserve">. </w:t>
      </w:r>
    </w:p>
    <w:p w14:paraId="725018C2" w14:textId="7E093C3C" w:rsidR="00E37FAB" w:rsidRDefault="00AD462C" w:rsidP="00AD462C">
      <w:pPr>
        <w:pStyle w:val="Paragraphedeliste"/>
      </w:pPr>
      <w:r>
        <w:t>I</w:t>
      </w:r>
      <w:r w:rsidR="00072669">
        <w:t>l</w:t>
      </w:r>
      <w:r w:rsidR="00E37FAB">
        <w:t xml:space="preserve"> </w:t>
      </w:r>
      <w:r w:rsidR="00072669">
        <w:t>est particulièrement évolutif avec des formes à gros volume ganglionnaire et un taux élevé de syndromes paranéoplasiques.</w:t>
      </w:r>
      <w:r w:rsidR="00E37FAB">
        <w:t xml:space="preserve"> </w:t>
      </w:r>
    </w:p>
    <w:p w14:paraId="22F61FF4" w14:textId="48C96C64" w:rsidR="00072669" w:rsidRDefault="00072669" w:rsidP="00E37FAB">
      <w:pPr>
        <w:pStyle w:val="listeespace"/>
      </w:pPr>
      <w:r>
        <w:t>Histologiquement, il peut s’agir soit d’un :</w:t>
      </w:r>
    </w:p>
    <w:p w14:paraId="5734926E" w14:textId="77777777" w:rsidR="00072669" w:rsidRDefault="00072669" w:rsidP="00E37FAB">
      <w:pPr>
        <w:pStyle w:val="niv15"/>
      </w:pPr>
      <w:r>
        <w:t>UCNT (40%).</w:t>
      </w:r>
    </w:p>
    <w:p w14:paraId="16E2680B" w14:textId="77777777" w:rsidR="00072669" w:rsidRDefault="00072669" w:rsidP="00E37FAB">
      <w:pPr>
        <w:pStyle w:val="niv15"/>
      </w:pPr>
      <w:r>
        <w:t>Rhabdomyosarcome</w:t>
      </w:r>
      <w:r>
        <w:rPr>
          <w:spacing w:val="-2"/>
        </w:rPr>
        <w:t xml:space="preserve"> </w:t>
      </w:r>
      <w:r>
        <w:t>(30%).</w:t>
      </w:r>
    </w:p>
    <w:p w14:paraId="06BE3EEC" w14:textId="77777777" w:rsidR="00072669" w:rsidRDefault="00072669" w:rsidP="00E37FAB">
      <w:pPr>
        <w:pStyle w:val="niv15"/>
      </w:pPr>
      <w:r>
        <w:t>LMNH (30%).</w:t>
      </w:r>
    </w:p>
    <w:p w14:paraId="4B809DCE" w14:textId="77777777" w:rsidR="00072669" w:rsidRDefault="00072669" w:rsidP="00E37FAB">
      <w:pPr>
        <w:pStyle w:val="listeespace"/>
      </w:pPr>
      <w:r>
        <w:t>L’âge de survenu pose le problème des séquelles à long terme après chimio-radiothérapie.</w:t>
      </w:r>
    </w:p>
    <w:p w14:paraId="2032B8E9" w14:textId="581D0D78" w:rsidR="00072669" w:rsidRDefault="00072669" w:rsidP="00042215">
      <w:pPr>
        <w:pStyle w:val="Titre4"/>
      </w:pPr>
      <w:r>
        <w:t>Forme du sujet âgé</w:t>
      </w:r>
    </w:p>
    <w:p w14:paraId="5070A0FF" w14:textId="77777777" w:rsidR="00E37FAB" w:rsidRDefault="00072669" w:rsidP="00E37FAB">
      <w:pPr>
        <w:pStyle w:val="Paragraphedeliste"/>
      </w:pPr>
      <w:r>
        <w:t>Elle est plus fréquente dans les pays occidentaux où l’âge de survenu est de l’ordre de 55 ans.</w:t>
      </w:r>
    </w:p>
    <w:p w14:paraId="54EC8AA6" w14:textId="60674060" w:rsidR="00072669" w:rsidRDefault="00072669" w:rsidP="00E37FAB">
      <w:pPr>
        <w:pStyle w:val="Paragraphedeliste"/>
      </w:pPr>
      <w:r>
        <w:t>Il s’agit souvent d’un carcinome épidermoïde kératinisant avec une atteinte nasopharyngée plus volumineuse que celles des ganglions cervicaux.</w:t>
      </w:r>
    </w:p>
    <w:p w14:paraId="5F2838B9" w14:textId="2514FC5B" w:rsidR="00E37FAB" w:rsidRDefault="00E37FAB" w:rsidP="00E37FAB">
      <w:pPr>
        <w:pStyle w:val="bodyjump"/>
      </w:pPr>
    </w:p>
    <w:p w14:paraId="3121FF28" w14:textId="77777777" w:rsidR="00E37FAB" w:rsidRDefault="00E37FAB" w:rsidP="00E37FAB">
      <w:pPr>
        <w:pStyle w:val="bodyjump"/>
      </w:pPr>
    </w:p>
    <w:p w14:paraId="118FF180" w14:textId="77777777" w:rsidR="00072669" w:rsidRDefault="00072669" w:rsidP="00042215">
      <w:pPr>
        <w:pStyle w:val="Titre3"/>
      </w:pPr>
      <w:r>
        <w:t>Formes</w:t>
      </w:r>
      <w:r>
        <w:rPr>
          <w:spacing w:val="-1"/>
        </w:rPr>
        <w:t xml:space="preserve"> </w:t>
      </w:r>
      <w:r>
        <w:t>monosymptomatiques</w:t>
      </w:r>
    </w:p>
    <w:p w14:paraId="5A308441" w14:textId="77777777" w:rsidR="00072669" w:rsidRDefault="00072669" w:rsidP="00042215">
      <w:pPr>
        <w:pStyle w:val="Titre4"/>
      </w:pPr>
      <w:r>
        <w:t>Formes révélées par une adénopathie cervicale en apparence</w:t>
      </w:r>
      <w:r>
        <w:rPr>
          <w:spacing w:val="-11"/>
        </w:rPr>
        <w:t xml:space="preserve"> </w:t>
      </w:r>
      <w:r>
        <w:t>primitive.</w:t>
      </w:r>
    </w:p>
    <w:p w14:paraId="42A84E86" w14:textId="77777777" w:rsidR="009509D6" w:rsidRDefault="009509D6" w:rsidP="009509D6">
      <w:pPr>
        <w:pStyle w:val="listeespace"/>
      </w:pPr>
      <w:r>
        <w:t>Dans ce cas, le bilan comportera :</w:t>
      </w:r>
    </w:p>
    <w:p w14:paraId="4DD94D23" w14:textId="77777777" w:rsidR="009509D6" w:rsidRDefault="009509D6" w:rsidP="009509D6">
      <w:pPr>
        <w:pStyle w:val="listetoile"/>
      </w:pPr>
      <w:r>
        <w:t>Une TDM du cavum</w:t>
      </w:r>
    </w:p>
    <w:p w14:paraId="2471051E" w14:textId="77777777" w:rsidR="009509D6" w:rsidRDefault="009509D6" w:rsidP="009509D6">
      <w:pPr>
        <w:pStyle w:val="listetoile"/>
      </w:pPr>
      <w:r>
        <w:t>Une endoscopie avec biopsie dirigée du cavum</w:t>
      </w:r>
    </w:p>
    <w:p w14:paraId="1EDE1BBA" w14:textId="77777777" w:rsidR="009509D6" w:rsidRDefault="009509D6" w:rsidP="009509D6">
      <w:pPr>
        <w:pStyle w:val="listetoile"/>
      </w:pPr>
      <w:r>
        <w:t>Une sérologie EBV</w:t>
      </w:r>
    </w:p>
    <w:p w14:paraId="49DA8184" w14:textId="77777777" w:rsidR="009509D6" w:rsidRDefault="009509D6" w:rsidP="009509D6">
      <w:pPr>
        <w:pStyle w:val="listetoile"/>
      </w:pPr>
      <w:r>
        <w:t>Idéalement un PET-scan</w:t>
      </w:r>
    </w:p>
    <w:p w14:paraId="5EA781B6" w14:textId="77777777" w:rsidR="009509D6" w:rsidRDefault="009509D6" w:rsidP="009509D6">
      <w:pPr>
        <w:pStyle w:val="listetoile"/>
      </w:pPr>
      <w:r>
        <w:t>La cytoponction peut être d’un grand apport diagnostique</w:t>
      </w:r>
    </w:p>
    <w:p w14:paraId="5B281E5F" w14:textId="77777777" w:rsidR="009509D6" w:rsidRDefault="009509D6" w:rsidP="009509D6">
      <w:pPr>
        <w:pStyle w:val="listetoile"/>
      </w:pPr>
      <w:r>
        <w:t>La cervicotomie avec biopsie ganglionnaire et examen histologique extemporané ne doit être qu’un ultime recours. Elle doit toujours être précédé d’une panendoscopie des VADS.</w:t>
      </w:r>
    </w:p>
    <w:p w14:paraId="661C6E3B" w14:textId="77777777" w:rsidR="00072669" w:rsidRDefault="00072669" w:rsidP="00042215">
      <w:pPr>
        <w:pStyle w:val="Titre4"/>
      </w:pPr>
      <w:r>
        <w:t>Formes tubaires</w:t>
      </w:r>
      <w:r>
        <w:rPr>
          <w:spacing w:val="-1"/>
        </w:rPr>
        <w:t xml:space="preserve"> </w:t>
      </w:r>
      <w:r>
        <w:t>:</w:t>
      </w:r>
    </w:p>
    <w:p w14:paraId="6BBDCBD6" w14:textId="394CB22A" w:rsidR="00072669" w:rsidRDefault="009509D6" w:rsidP="00E37FAB">
      <w:pPr>
        <w:pStyle w:val="Paragraphedeliste"/>
      </w:pPr>
      <w:r w:rsidRPr="009509D6">
        <w:t xml:space="preserve">Elles sont révélées par une otite séro-muqueuse isolée. Le diagnostic, évoqué à l’imagerie qui met en évidence une forme sous muqueuse de la tumeur, est confirmé par l’endoscopie avec biopsie et examen </w:t>
      </w:r>
      <w:r w:rsidRPr="009509D6">
        <w:lastRenderedPageBreak/>
        <w:t>anatomopathologique</w:t>
      </w:r>
      <w:r w:rsidR="00072669">
        <w:t>.</w:t>
      </w:r>
    </w:p>
    <w:p w14:paraId="6B41BAFD" w14:textId="11DE3BE0" w:rsidR="00072669" w:rsidRDefault="00072669" w:rsidP="00042215">
      <w:pPr>
        <w:pStyle w:val="Titre4"/>
      </w:pPr>
      <w:r>
        <w:t>Forme révélée par un Trismus</w:t>
      </w:r>
      <w:r>
        <w:rPr>
          <w:spacing w:val="-3"/>
        </w:rPr>
        <w:t xml:space="preserve"> </w:t>
      </w:r>
      <w:r>
        <w:t>:</w:t>
      </w:r>
    </w:p>
    <w:p w14:paraId="2F167332" w14:textId="77777777" w:rsidR="00B3201E" w:rsidRPr="00B3201E" w:rsidRDefault="00B3201E" w:rsidP="00B3201E">
      <w:pPr>
        <w:pStyle w:val="listeespace"/>
        <w:rPr>
          <w:rFonts w:ascii="Cambria" w:eastAsiaTheme="majorEastAsia" w:hAnsi="Cambria" w:cstheme="majorBidi"/>
          <w:b/>
          <w:bCs/>
          <w:iCs/>
          <w:color w:val="C45911" w:themeColor="accent2" w:themeShade="BF"/>
        </w:rPr>
      </w:pPr>
      <w:r w:rsidRPr="00B3201E">
        <w:t>Un trismus isolé doit inciter à réaliser un examen du nasopharynx, d’autant plus que ce trismus est douloureux.</w:t>
      </w:r>
    </w:p>
    <w:p w14:paraId="0BC0D2BD" w14:textId="15ABADA2" w:rsidR="00072669" w:rsidRDefault="00072669" w:rsidP="00042215">
      <w:pPr>
        <w:pStyle w:val="Titre4"/>
      </w:pPr>
      <w:r>
        <w:t>Forme révélée par un syndrome paranéoplasique</w:t>
      </w:r>
      <w:r>
        <w:rPr>
          <w:spacing w:val="-4"/>
        </w:rPr>
        <w:t xml:space="preserve"> </w:t>
      </w:r>
      <w:r>
        <w:t>:</w:t>
      </w:r>
    </w:p>
    <w:p w14:paraId="66A23CA8" w14:textId="7F9B2DAF" w:rsidR="00B3201E" w:rsidRDefault="00B3201E" w:rsidP="00B3201E">
      <w:pPr>
        <w:pStyle w:val="listeespace"/>
        <w:rPr>
          <w:rStyle w:val="listeespaceChar"/>
        </w:rPr>
      </w:pPr>
      <w:r w:rsidRPr="00B3201E">
        <w:rPr>
          <w:rStyle w:val="listeespaceChar"/>
        </w:rPr>
        <w:t>Elles sont surtout vues dans le cadre de la recherche d’une tumeur primitive du nasopharynx, devant une dermatomyosite ou un hippocratisme digital.</w:t>
      </w:r>
    </w:p>
    <w:p w14:paraId="5229CD73" w14:textId="77777777" w:rsidR="00072669" w:rsidRDefault="00072669" w:rsidP="00042215">
      <w:pPr>
        <w:pStyle w:val="Titre4"/>
      </w:pPr>
      <w:r>
        <w:t>Forme révélée par une métastase à distance</w:t>
      </w:r>
      <w:r>
        <w:rPr>
          <w:spacing w:val="-6"/>
        </w:rPr>
        <w:t xml:space="preserve"> </w:t>
      </w:r>
      <w:r>
        <w:t>:</w:t>
      </w:r>
    </w:p>
    <w:p w14:paraId="2880631E" w14:textId="06A2FCE7" w:rsidR="00E37FAB" w:rsidRDefault="00B3201E" w:rsidP="00B3201E">
      <w:pPr>
        <w:pStyle w:val="listeespace"/>
      </w:pPr>
      <w:r w:rsidRPr="00B3201E">
        <w:t>Les métastases sont surtout osseuse (cancer ostéophile), plus rarement pulmonaires ou hépatiques.</w:t>
      </w:r>
    </w:p>
    <w:p w14:paraId="2BF791AD" w14:textId="77777777" w:rsidR="00E37FAB" w:rsidRDefault="00E37FAB" w:rsidP="008656C5">
      <w:pPr>
        <w:pStyle w:val="Corpsdetexte"/>
      </w:pPr>
    </w:p>
    <w:p w14:paraId="3D6F5FAD" w14:textId="77777777" w:rsidR="00072669" w:rsidRDefault="00072669" w:rsidP="00042215">
      <w:pPr>
        <w:pStyle w:val="Titre3"/>
      </w:pPr>
      <w:r>
        <w:t>Formes</w:t>
      </w:r>
      <w:r>
        <w:rPr>
          <w:spacing w:val="-1"/>
        </w:rPr>
        <w:t xml:space="preserve"> </w:t>
      </w:r>
      <w:r>
        <w:t>anatomopathologiques</w:t>
      </w:r>
    </w:p>
    <w:p w14:paraId="74B641E4" w14:textId="77777777" w:rsidR="00072669" w:rsidRDefault="00072669" w:rsidP="00042215">
      <w:pPr>
        <w:pStyle w:val="Titre4"/>
      </w:pPr>
      <w:r>
        <w:t>Carcinome épidermoïde kératinaisant du</w:t>
      </w:r>
      <w:r>
        <w:rPr>
          <w:spacing w:val="-3"/>
        </w:rPr>
        <w:t xml:space="preserve"> </w:t>
      </w:r>
      <w:r>
        <w:t>cavum</w:t>
      </w:r>
    </w:p>
    <w:p w14:paraId="0F0AC410" w14:textId="77777777" w:rsidR="00072669" w:rsidRDefault="00072669" w:rsidP="008656C5">
      <w:pPr>
        <w:pStyle w:val="Corpsdetexte"/>
      </w:pPr>
      <w:r>
        <w:t>Il se voit surtout chez les sujets âgés. Il est radio-résistant et de mauvais pronostic.</w:t>
      </w:r>
    </w:p>
    <w:p w14:paraId="2B105395" w14:textId="77777777" w:rsidR="00072669" w:rsidRDefault="00072669" w:rsidP="00042215">
      <w:pPr>
        <w:pStyle w:val="Titre4"/>
      </w:pPr>
      <w:r>
        <w:t>Les</w:t>
      </w:r>
      <w:r>
        <w:rPr>
          <w:spacing w:val="-1"/>
        </w:rPr>
        <w:t xml:space="preserve"> </w:t>
      </w:r>
      <w:r>
        <w:t>lymphomes</w:t>
      </w:r>
    </w:p>
    <w:p w14:paraId="4DA1FBA7" w14:textId="77777777" w:rsidR="00B3201E" w:rsidRDefault="00B3201E" w:rsidP="00E37FAB">
      <w:pPr>
        <w:pStyle w:val="Paragraphedeliste"/>
      </w:pPr>
      <w:r w:rsidRPr="00B3201E">
        <w:t>Les lymphomes sont les tumeurs non épithéliales les plus fréquentes, à évoquer surtout chez l’enfant.</w:t>
      </w:r>
    </w:p>
    <w:p w14:paraId="68D1C6F7" w14:textId="3E1F6CC8" w:rsidR="00B3201E" w:rsidRDefault="00B3201E" w:rsidP="00E37FAB">
      <w:pPr>
        <w:pStyle w:val="Paragraphedeliste"/>
      </w:pPr>
      <w:r w:rsidRPr="00B3201E">
        <w:t xml:space="preserve">Ils réalisent un aspect tumoral éxophytique avec une atteinte ganglionnaire précoce. </w:t>
      </w:r>
    </w:p>
    <w:p w14:paraId="2C6356B1" w14:textId="77789AA6" w:rsidR="00072669" w:rsidRDefault="00B3201E" w:rsidP="00E37FAB">
      <w:pPr>
        <w:pStyle w:val="Paragraphedeliste"/>
      </w:pPr>
      <w:r w:rsidRPr="00B3201E">
        <w:t>Ils sont essentiellement de type non hodgkinien.</w:t>
      </w:r>
      <w:r w:rsidR="00072669">
        <w:t>.</w:t>
      </w:r>
    </w:p>
    <w:p w14:paraId="7A019CCA" w14:textId="77777777" w:rsidR="00072669" w:rsidRDefault="00072669" w:rsidP="00042215">
      <w:pPr>
        <w:pStyle w:val="Titre4"/>
      </w:pPr>
      <w:r>
        <w:t>Les</w:t>
      </w:r>
      <w:r>
        <w:rPr>
          <w:spacing w:val="-1"/>
        </w:rPr>
        <w:t xml:space="preserve"> </w:t>
      </w:r>
      <w:r>
        <w:t>sarcomes</w:t>
      </w:r>
    </w:p>
    <w:p w14:paraId="2AE8DF14" w14:textId="77777777" w:rsidR="00072669" w:rsidRDefault="00072669" w:rsidP="008656C5">
      <w:pPr>
        <w:pStyle w:val="Corpsdetexte"/>
      </w:pPr>
      <w:r>
        <w:t>Chez l’enfant, le nasopharynx représente la deuxième localisation après l’orbite des rhabdomyosarcomes.</w:t>
      </w:r>
    </w:p>
    <w:p w14:paraId="42C2D91C" w14:textId="64EAF6AE" w:rsidR="00E37FAB" w:rsidRDefault="00E37FAB">
      <w:pPr>
        <w:widowControl/>
        <w:autoSpaceDE/>
        <w:autoSpaceDN/>
        <w:adjustRightInd/>
        <w:spacing w:after="160" w:line="259" w:lineRule="auto"/>
        <w:rPr>
          <w:szCs w:val="24"/>
        </w:rPr>
      </w:pPr>
      <w:r>
        <w:br w:type="page"/>
      </w:r>
    </w:p>
    <w:p w14:paraId="480FCEA7" w14:textId="77777777" w:rsidR="00072669" w:rsidRDefault="00072669" w:rsidP="00042215">
      <w:pPr>
        <w:pStyle w:val="Titre1"/>
      </w:pPr>
      <w:r>
        <w:lastRenderedPageBreak/>
        <w:t xml:space="preserve">Etablir, à partir du </w:t>
      </w:r>
      <w:r w:rsidRPr="00042215">
        <w:t>bilan</w:t>
      </w:r>
      <w:r>
        <w:t xml:space="preserve"> d’extension clinique et paraclinique la classification TNM du cancer du</w:t>
      </w:r>
      <w:r>
        <w:rPr>
          <w:spacing w:val="-2"/>
        </w:rPr>
        <w:t xml:space="preserve"> </w:t>
      </w:r>
      <w:r>
        <w:t>cavum.</w:t>
      </w:r>
    </w:p>
    <w:p w14:paraId="2177C173" w14:textId="77777777" w:rsidR="00072669" w:rsidRDefault="00072669" w:rsidP="00E37FAB">
      <w:pPr>
        <w:pStyle w:val="Titre2"/>
      </w:pPr>
      <w:r>
        <w:t>Bilan</w:t>
      </w:r>
      <w:r>
        <w:rPr>
          <w:spacing w:val="-1"/>
        </w:rPr>
        <w:t xml:space="preserve"> </w:t>
      </w:r>
      <w:r>
        <w:t>radiologique</w:t>
      </w:r>
    </w:p>
    <w:p w14:paraId="0A451805" w14:textId="77777777" w:rsidR="00072669" w:rsidRDefault="00072669" w:rsidP="008656C5">
      <w:pPr>
        <w:pStyle w:val="Corpsdetexte"/>
      </w:pPr>
      <w:r>
        <w:t>Le bilan radiologique a trois objectifs :</w:t>
      </w:r>
    </w:p>
    <w:p w14:paraId="17B736FC" w14:textId="77777777" w:rsidR="00072669" w:rsidRDefault="00072669" w:rsidP="00BA0182">
      <w:pPr>
        <w:pStyle w:val="listetoile"/>
      </w:pPr>
      <w:r>
        <w:t>Diagnostique</w:t>
      </w:r>
    </w:p>
    <w:p w14:paraId="6AC519BE" w14:textId="77777777" w:rsidR="00072669" w:rsidRDefault="00072669" w:rsidP="00BA0182">
      <w:pPr>
        <w:pStyle w:val="listetoile"/>
      </w:pPr>
      <w:r>
        <w:t>Bilan</w:t>
      </w:r>
      <w:r>
        <w:rPr>
          <w:spacing w:val="-1"/>
        </w:rPr>
        <w:t xml:space="preserve"> </w:t>
      </w:r>
      <w:r>
        <w:t>préthérapeutique</w:t>
      </w:r>
    </w:p>
    <w:p w14:paraId="267970B5" w14:textId="77777777" w:rsidR="00072669" w:rsidRDefault="00072669" w:rsidP="00BA0182">
      <w:pPr>
        <w:pStyle w:val="listetoile"/>
      </w:pPr>
      <w:r>
        <w:t>Suivi</w:t>
      </w:r>
      <w:r>
        <w:rPr>
          <w:spacing w:val="-2"/>
        </w:rPr>
        <w:t xml:space="preserve"> </w:t>
      </w:r>
      <w:r>
        <w:t>post-thérapeutique</w:t>
      </w:r>
    </w:p>
    <w:p w14:paraId="1BE58BC6" w14:textId="77777777" w:rsidR="00072669" w:rsidRDefault="00072669" w:rsidP="00E37FAB">
      <w:pPr>
        <w:pStyle w:val="Titre3"/>
      </w:pPr>
      <w:r>
        <w:t>IRM du</w:t>
      </w:r>
      <w:r>
        <w:rPr>
          <w:spacing w:val="-2"/>
        </w:rPr>
        <w:t xml:space="preserve"> </w:t>
      </w:r>
      <w:r>
        <w:t>cavum</w:t>
      </w:r>
    </w:p>
    <w:p w14:paraId="485B87B5" w14:textId="77777777" w:rsidR="00BA0182" w:rsidRDefault="00072669" w:rsidP="00BA0182">
      <w:pPr>
        <w:pStyle w:val="listeespace"/>
      </w:pPr>
      <w:r>
        <w:t xml:space="preserve">L’IRM est l’examen radiologique à réaliser de première intention. </w:t>
      </w:r>
    </w:p>
    <w:p w14:paraId="036929EC" w14:textId="77777777" w:rsidR="00BA0182" w:rsidRDefault="00072669" w:rsidP="00BA0182">
      <w:pPr>
        <w:pStyle w:val="listeespace"/>
      </w:pPr>
      <w:r>
        <w:t>Elle est supérieure au scanner pour apprécier l’extension en profondeur vers les foramina de la base du crâne et l’atteinte des nerfs crâniens ainsi que les extensions périneurales.</w:t>
      </w:r>
    </w:p>
    <w:p w14:paraId="0324271B" w14:textId="77777777" w:rsidR="00BA0182" w:rsidRDefault="00072669" w:rsidP="00846169">
      <w:pPr>
        <w:pStyle w:val="Paragraphedeliste"/>
      </w:pPr>
      <w:r>
        <w:t xml:space="preserve">Elle permet de mieux apprécier le volume tumoral à irradier dans les stades avancés. </w:t>
      </w:r>
    </w:p>
    <w:p w14:paraId="502FF15D" w14:textId="1DABD5C0" w:rsidR="00072669" w:rsidRDefault="00072669" w:rsidP="00846169">
      <w:pPr>
        <w:pStyle w:val="Paragraphedeliste"/>
      </w:pPr>
      <w:r>
        <w:t>Elle est supérieure aussi</w:t>
      </w:r>
      <w:r w:rsidR="00BA0182">
        <w:t xml:space="preserve"> </w:t>
      </w:r>
      <w:r>
        <w:t>dans la détection des processus muqueux débutants stade T1 et dans</w:t>
      </w:r>
      <w:r w:rsidR="00BA0182">
        <w:t xml:space="preserve"> </w:t>
      </w:r>
      <w:r>
        <w:t>l’analyse des aspects post thérapeutiques, en particulier post radiothérapie, en aidant à différencier un aspect de fibrose secondaire d’une rechute</w:t>
      </w:r>
      <w:r>
        <w:rPr>
          <w:spacing w:val="-4"/>
        </w:rPr>
        <w:t xml:space="preserve"> </w:t>
      </w:r>
      <w:r>
        <w:t>locale.</w:t>
      </w:r>
    </w:p>
    <w:p w14:paraId="5A4B4CBB" w14:textId="77777777" w:rsidR="00072669" w:rsidRDefault="00072669" w:rsidP="00E37FAB">
      <w:pPr>
        <w:pStyle w:val="Titre3"/>
      </w:pPr>
      <w:r>
        <w:t>Scanner du</w:t>
      </w:r>
      <w:r>
        <w:rPr>
          <w:spacing w:val="-2"/>
        </w:rPr>
        <w:t xml:space="preserve"> </w:t>
      </w:r>
      <w:r>
        <w:t>cavum</w:t>
      </w:r>
    </w:p>
    <w:p w14:paraId="451DEF70" w14:textId="77777777" w:rsidR="00B3201E" w:rsidRDefault="00B3201E" w:rsidP="00BA0182">
      <w:pPr>
        <w:pStyle w:val="listeespace"/>
      </w:pPr>
      <w:r w:rsidRPr="00B3201E">
        <w:t xml:space="preserve">Il se fait en coupes axiales et coronales, allant du sommet du crâne jusqu’aux creux sus claviculaire, en fenêtres osseuse et parties molles. </w:t>
      </w:r>
    </w:p>
    <w:p w14:paraId="0C48D22C" w14:textId="77777777" w:rsidR="00B3201E" w:rsidRDefault="00B3201E" w:rsidP="00BA0182">
      <w:pPr>
        <w:pStyle w:val="listeespace"/>
      </w:pPr>
      <w:r w:rsidRPr="00B3201E">
        <w:t>Le scanner est surtout utile pour une analyse fine de l’os cortical et ainsi pour la détection précoce de l’extension osseuse de la base du crâne.</w:t>
      </w:r>
    </w:p>
    <w:p w14:paraId="3F0116EF" w14:textId="569D11B7" w:rsidR="00072669" w:rsidRDefault="00B3201E" w:rsidP="00BA0182">
      <w:pPr>
        <w:pStyle w:val="listeespace"/>
      </w:pPr>
      <w:r w:rsidRPr="00B3201E">
        <w:t>Il précise le siège de la tumeur ainsi que ses extensions aux structures de voisinage, et recherche des adénopathies rétropharyngées inaccessibles à l’examen physique ou des adénopathies cervicales infracliniques</w:t>
      </w:r>
      <w:r w:rsidR="00072669">
        <w:t>.</w:t>
      </w:r>
    </w:p>
    <w:p w14:paraId="27D991F6" w14:textId="77777777" w:rsidR="00072669" w:rsidRDefault="00072669" w:rsidP="00E37FAB">
      <w:pPr>
        <w:pStyle w:val="Titre2"/>
      </w:pPr>
      <w:r>
        <w:t>Bilan</w:t>
      </w:r>
      <w:r>
        <w:rPr>
          <w:spacing w:val="-1"/>
        </w:rPr>
        <w:t xml:space="preserve"> </w:t>
      </w:r>
      <w:r>
        <w:t>pré-thérapeutique</w:t>
      </w:r>
    </w:p>
    <w:p w14:paraId="60C15A9D" w14:textId="77777777" w:rsidR="00072669" w:rsidRDefault="00072669" w:rsidP="00E37FAB">
      <w:pPr>
        <w:pStyle w:val="Titre3"/>
      </w:pPr>
      <w:r>
        <w:t>Bilan d’extension</w:t>
      </w:r>
      <w:r>
        <w:rPr>
          <w:spacing w:val="-1"/>
        </w:rPr>
        <w:t xml:space="preserve"> </w:t>
      </w:r>
      <w:r>
        <w:t>locoregional</w:t>
      </w:r>
    </w:p>
    <w:p w14:paraId="74BE277A" w14:textId="77777777" w:rsidR="00072669" w:rsidRDefault="00072669" w:rsidP="008656C5">
      <w:pPr>
        <w:pStyle w:val="Corpsdetexte"/>
      </w:pPr>
      <w:r>
        <w:rPr>
          <w:b/>
        </w:rPr>
        <w:t xml:space="preserve">- </w:t>
      </w:r>
      <w:r>
        <w:t>IRM du cavum +/- TDM du cavum</w:t>
      </w:r>
    </w:p>
    <w:p w14:paraId="3DFD697C" w14:textId="77777777" w:rsidR="00072669" w:rsidRDefault="00072669" w:rsidP="00E37FAB">
      <w:pPr>
        <w:pStyle w:val="Titre3"/>
      </w:pPr>
      <w:r>
        <w:t>Bilan d’extension à</w:t>
      </w:r>
      <w:r>
        <w:rPr>
          <w:spacing w:val="-1"/>
        </w:rPr>
        <w:t xml:space="preserve"> </w:t>
      </w:r>
      <w:r>
        <w:t>distance</w:t>
      </w:r>
    </w:p>
    <w:p w14:paraId="0B9C181E" w14:textId="77777777" w:rsidR="00BA0182" w:rsidRDefault="00072669" w:rsidP="00BA0182">
      <w:pPr>
        <w:pStyle w:val="Paragraphedeliste"/>
      </w:pPr>
      <w:r>
        <w:t xml:space="preserve">L’incidence des métastases à distance est plus élevée pour les carcinomes du nasopharynx que pour les autres carcinomes des voies aéro-digestives supérieures. </w:t>
      </w:r>
    </w:p>
    <w:p w14:paraId="650A04B0" w14:textId="1038482E" w:rsidR="00BA0182" w:rsidRDefault="00072669" w:rsidP="00BA0182">
      <w:pPr>
        <w:pStyle w:val="Paragraphedeliste"/>
      </w:pPr>
      <w:r>
        <w:t xml:space="preserve">La survenue des métastases viscérales est fortement corrélée </w:t>
      </w:r>
      <w:r w:rsidR="00A0352E">
        <w:t xml:space="preserve">à </w:t>
      </w:r>
      <w:r>
        <w:t xml:space="preserve">l’envahissement ganglionnaire. </w:t>
      </w:r>
    </w:p>
    <w:p w14:paraId="348F9183" w14:textId="77777777" w:rsidR="00934879" w:rsidRDefault="00934879" w:rsidP="00934879"/>
    <w:p w14:paraId="363FA19C" w14:textId="65C4A99B" w:rsidR="00072669" w:rsidRDefault="00072669" w:rsidP="00C878A3">
      <w:pPr>
        <w:pStyle w:val="Paragraphedeliste"/>
      </w:pPr>
      <w:r>
        <w:lastRenderedPageBreak/>
        <w:t>Les sites métastatiques</w:t>
      </w:r>
      <w:r w:rsidR="00A0352E">
        <w:t xml:space="preserve"> </w:t>
      </w:r>
      <w:r>
        <w:t>les plus fréquents sont osseux (70%), pulmonaires, hépatiques et ganglionnaires extra- cervicales.</w:t>
      </w:r>
    </w:p>
    <w:p w14:paraId="79FAAF3D" w14:textId="17FD1522" w:rsidR="00BA0182" w:rsidRDefault="00072669" w:rsidP="00BA0182">
      <w:pPr>
        <w:pStyle w:val="Paragraphedeliste"/>
      </w:pPr>
      <w:r>
        <w:t>Le bilan d’extension à distance comprend</w:t>
      </w:r>
      <w:r w:rsidR="00AE5210">
        <w:t> :</w:t>
      </w:r>
    </w:p>
    <w:p w14:paraId="2C070FF1" w14:textId="77777777" w:rsidR="009E7243" w:rsidRPr="009E7243" w:rsidRDefault="009E7243" w:rsidP="009E7243">
      <w:pPr>
        <w:pStyle w:val="listetoile"/>
        <w:rPr>
          <w:rFonts w:ascii="Segoe UI" w:hAnsi="Segoe UI" w:cs="Segoe UI"/>
          <w:sz w:val="20"/>
          <w:szCs w:val="20"/>
        </w:rPr>
      </w:pPr>
      <w:r>
        <w:t>Un scanner thoracique</w:t>
      </w:r>
    </w:p>
    <w:p w14:paraId="234E0723" w14:textId="56A3E8D6" w:rsidR="009E7243" w:rsidRPr="009E7243" w:rsidRDefault="009E7243" w:rsidP="00277D6A">
      <w:pPr>
        <w:pStyle w:val="listetoile"/>
        <w:rPr>
          <w:rFonts w:ascii="Segoe UI" w:hAnsi="Segoe UI" w:cs="Segoe UI"/>
          <w:sz w:val="20"/>
          <w:szCs w:val="20"/>
        </w:rPr>
      </w:pPr>
      <w:r>
        <w:t>Un scanner abdominal (ou une écho</w:t>
      </w:r>
      <w:r w:rsidR="009F5339">
        <w:t>graphie</w:t>
      </w:r>
      <w:r>
        <w:t xml:space="preserve"> abdominale) +/- </w:t>
      </w:r>
      <w:r w:rsidR="00D16106">
        <w:t xml:space="preserve">un </w:t>
      </w:r>
      <w:r>
        <w:t xml:space="preserve">angioscanner ou </w:t>
      </w:r>
      <w:r w:rsidR="00277D6A">
        <w:t xml:space="preserve">une </w:t>
      </w:r>
      <w:r>
        <w:t xml:space="preserve">IRM hépatique en cas de doute </w:t>
      </w:r>
    </w:p>
    <w:p w14:paraId="2B8F48D9" w14:textId="11659C58" w:rsidR="009E7243" w:rsidRDefault="009E7243" w:rsidP="00D22B21">
      <w:pPr>
        <w:pStyle w:val="listetoile"/>
        <w:ind w:right="-313"/>
        <w:rPr>
          <w:rFonts w:ascii="Segoe UI" w:hAnsi="Segoe UI" w:cs="Segoe UI"/>
          <w:sz w:val="20"/>
          <w:szCs w:val="20"/>
        </w:rPr>
      </w:pPr>
      <w:r>
        <w:t xml:space="preserve">Une scintigraphie osseuse (+/- radiographies standards et/ou </w:t>
      </w:r>
      <w:r w:rsidR="00277D6A">
        <w:t xml:space="preserve">une </w:t>
      </w:r>
      <w:r>
        <w:t>IRM centrées sur les lésions suspectes).</w:t>
      </w:r>
    </w:p>
    <w:p w14:paraId="0B44606E" w14:textId="52AA5548" w:rsidR="00B3201E" w:rsidRDefault="00B3201E" w:rsidP="009E7243">
      <w:pPr>
        <w:pStyle w:val="listeespace"/>
      </w:pPr>
      <w:r w:rsidRPr="00B3201E">
        <w:t>Le Pet-scan ou TEP-TDM est actuellement recommandé dans les formes localement avancées. C’est aussi l’examen le plus sensible et le plus spécifique pour détecter les métastases.</w:t>
      </w:r>
    </w:p>
    <w:p w14:paraId="0E0421F8" w14:textId="77777777" w:rsidR="00072669" w:rsidRDefault="00072669" w:rsidP="00E37FAB">
      <w:pPr>
        <w:pStyle w:val="Titre3"/>
      </w:pPr>
      <w:r>
        <w:t>Bilan</w:t>
      </w:r>
      <w:r>
        <w:rPr>
          <w:spacing w:val="-1"/>
        </w:rPr>
        <w:t xml:space="preserve"> </w:t>
      </w:r>
      <w:r>
        <w:t>biologique</w:t>
      </w:r>
    </w:p>
    <w:p w14:paraId="4F97DE8A" w14:textId="77777777" w:rsidR="00072669" w:rsidRDefault="00072669" w:rsidP="00E37FAB">
      <w:pPr>
        <w:pStyle w:val="Titre4"/>
      </w:pPr>
      <w:r>
        <w:t>Sérologie</w:t>
      </w:r>
      <w:r>
        <w:rPr>
          <w:spacing w:val="-5"/>
        </w:rPr>
        <w:t xml:space="preserve"> </w:t>
      </w:r>
      <w:r>
        <w:t>EBV</w:t>
      </w:r>
    </w:p>
    <w:p w14:paraId="6E748D41" w14:textId="77777777" w:rsidR="00AE5210" w:rsidRDefault="00072669" w:rsidP="00AE5210">
      <w:pPr>
        <w:pStyle w:val="Paragraphedeliste"/>
      </w:pPr>
      <w:r>
        <w:t xml:space="preserve">Une sérologie EBV initiale est obligatoire incluant surtout IgA/VCA, IgG/VCA et IgA/EA. </w:t>
      </w:r>
    </w:p>
    <w:p w14:paraId="10413DDC" w14:textId="63206FF9" w:rsidR="00072669" w:rsidRDefault="00072669" w:rsidP="00AE5210">
      <w:pPr>
        <w:pStyle w:val="Paragraphedeliste"/>
      </w:pPr>
      <w:r>
        <w:t>La sérologie EBV a trois intérêts</w:t>
      </w:r>
      <w:r>
        <w:rPr>
          <w:spacing w:val="-4"/>
        </w:rPr>
        <w:t xml:space="preserve"> </w:t>
      </w:r>
      <w:r>
        <w:t>:</w:t>
      </w:r>
    </w:p>
    <w:p w14:paraId="31EEDFB7" w14:textId="77777777" w:rsidR="00072669" w:rsidRDefault="00072669" w:rsidP="00AE5210">
      <w:pPr>
        <w:pStyle w:val="listetoile"/>
      </w:pPr>
      <w:r>
        <w:t>Elle peut servir comme moyen de dépistage chez les patients les plus exposés en zone à haut</w:t>
      </w:r>
      <w:r>
        <w:rPr>
          <w:spacing w:val="-3"/>
        </w:rPr>
        <w:t xml:space="preserve"> </w:t>
      </w:r>
      <w:r>
        <w:t>risque.</w:t>
      </w:r>
    </w:p>
    <w:p w14:paraId="34092B33" w14:textId="3F2D3B40" w:rsidR="00072669" w:rsidRDefault="00B3201E" w:rsidP="00AE5210">
      <w:pPr>
        <w:pStyle w:val="listetoile"/>
      </w:pPr>
      <w:r>
        <w:t>Elle a un i</w:t>
      </w:r>
      <w:r w:rsidR="00072669">
        <w:t>ntérêt diagnostique devant une adénopathie cervicale apparemment</w:t>
      </w:r>
      <w:r w:rsidR="00072669">
        <w:rPr>
          <w:spacing w:val="-13"/>
        </w:rPr>
        <w:t xml:space="preserve"> </w:t>
      </w:r>
      <w:r w:rsidR="00072669">
        <w:t>primitive</w:t>
      </w:r>
    </w:p>
    <w:p w14:paraId="5ECB1473" w14:textId="22D681B2" w:rsidR="00072669" w:rsidRDefault="00B3201E" w:rsidP="00AE5210">
      <w:pPr>
        <w:pStyle w:val="listetoile"/>
      </w:pPr>
      <w:r>
        <w:t>Elle a un i</w:t>
      </w:r>
      <w:r w:rsidR="00072669">
        <w:t xml:space="preserve">ntérêt pronostique : après traitement, la ré-ascension des taux sériques surtout des IgA/VCA témoigne le plus souvent d’une récidive locorégionale et/ou </w:t>
      </w:r>
      <w:r w:rsidR="00277D6A">
        <w:t>d’</w:t>
      </w:r>
      <w:r w:rsidR="00072669">
        <w:t>une diffusion métastatique.</w:t>
      </w:r>
    </w:p>
    <w:p w14:paraId="2FDC6036" w14:textId="77777777" w:rsidR="00072669" w:rsidRDefault="00072669" w:rsidP="00E37FAB">
      <w:pPr>
        <w:pStyle w:val="Titre4"/>
      </w:pPr>
      <w:r>
        <w:t>Marqueurs</w:t>
      </w:r>
      <w:r>
        <w:rPr>
          <w:spacing w:val="-1"/>
        </w:rPr>
        <w:t xml:space="preserve"> </w:t>
      </w:r>
      <w:r>
        <w:t>tumoraux</w:t>
      </w:r>
    </w:p>
    <w:p w14:paraId="48162455" w14:textId="77777777" w:rsidR="00AE5210" w:rsidRDefault="00072669" w:rsidP="008656C5">
      <w:pPr>
        <w:pStyle w:val="Corpsdetexte"/>
      </w:pPr>
      <w:r>
        <w:t xml:space="preserve">Les marqueurs sériques les plus sensibles/spécifiques sont </w:t>
      </w:r>
    </w:p>
    <w:p w14:paraId="0D71C93C" w14:textId="77777777" w:rsidR="00AE5210" w:rsidRDefault="00072669" w:rsidP="00AE5210">
      <w:pPr>
        <w:pStyle w:val="niv15"/>
      </w:pPr>
      <w:r>
        <w:t xml:space="preserve">le Cyfra 21 </w:t>
      </w:r>
    </w:p>
    <w:p w14:paraId="3463C8B1" w14:textId="147CA926" w:rsidR="00072669" w:rsidRDefault="00072669" w:rsidP="00AE5210">
      <w:pPr>
        <w:pStyle w:val="niv15"/>
      </w:pPr>
      <w:r>
        <w:t>et le dosage de la fraction libre de l’ADN viral plasmatique.</w:t>
      </w:r>
    </w:p>
    <w:p w14:paraId="7316F64E" w14:textId="77777777" w:rsidR="00072669" w:rsidRDefault="00072669" w:rsidP="00E37FAB">
      <w:pPr>
        <w:pStyle w:val="Titre4"/>
      </w:pPr>
      <w:r>
        <w:t>Autres examens</w:t>
      </w:r>
      <w:r>
        <w:rPr>
          <w:spacing w:val="-1"/>
        </w:rPr>
        <w:t xml:space="preserve"> </w:t>
      </w:r>
      <w:r>
        <w:t>biologiques</w:t>
      </w:r>
    </w:p>
    <w:p w14:paraId="52F3FD87" w14:textId="5DE33432" w:rsidR="00072669" w:rsidRDefault="00072669" w:rsidP="008656C5">
      <w:pPr>
        <w:pStyle w:val="Corpsdetexte"/>
      </w:pPr>
      <w:r>
        <w:t xml:space="preserve">Bien que non spécifiques, </w:t>
      </w:r>
      <w:r w:rsidR="00277D6A">
        <w:t xml:space="preserve">ils </w:t>
      </w:r>
      <w:r>
        <w:t xml:space="preserve">sont utiles soit à la recherche d’un </w:t>
      </w:r>
      <w:r w:rsidRPr="00AE5210">
        <w:rPr>
          <w:rStyle w:val="bodystrongChar"/>
        </w:rPr>
        <w:t>syndrome paranéoplasique biologique</w:t>
      </w:r>
      <w:r>
        <w:t xml:space="preserve">, soit dans un </w:t>
      </w:r>
      <w:r w:rsidRPr="00AE5210">
        <w:rPr>
          <w:rStyle w:val="bodystrongChar"/>
        </w:rPr>
        <w:t>but pré-thérapeutique</w:t>
      </w:r>
      <w:r>
        <w:t xml:space="preserve"> :</w:t>
      </w:r>
    </w:p>
    <w:p w14:paraId="75521329" w14:textId="77777777" w:rsidR="00072669" w:rsidRDefault="00072669" w:rsidP="00AE5210">
      <w:pPr>
        <w:pStyle w:val="listetoile"/>
      </w:pPr>
      <w:r>
        <w:t>Hémogramme à la recherche d’une réaction</w:t>
      </w:r>
      <w:r>
        <w:rPr>
          <w:spacing w:val="-7"/>
        </w:rPr>
        <w:t xml:space="preserve"> </w:t>
      </w:r>
      <w:r>
        <w:t>leucémoïde</w:t>
      </w:r>
    </w:p>
    <w:p w14:paraId="68B5F40B" w14:textId="77777777" w:rsidR="00072669" w:rsidRDefault="00072669" w:rsidP="00AE5210">
      <w:pPr>
        <w:pStyle w:val="listetoile"/>
      </w:pPr>
      <w:r>
        <w:t>Une VS à la recherche d’un syndrome inflammatoire non</w:t>
      </w:r>
      <w:r>
        <w:rPr>
          <w:spacing w:val="-9"/>
        </w:rPr>
        <w:t xml:space="preserve"> </w:t>
      </w:r>
      <w:r>
        <w:t>spécifique</w:t>
      </w:r>
    </w:p>
    <w:p w14:paraId="2760366B" w14:textId="77777777" w:rsidR="00072669" w:rsidRDefault="00072669" w:rsidP="00AE5210">
      <w:pPr>
        <w:pStyle w:val="listetoile"/>
      </w:pPr>
      <w:r>
        <w:t>Un bilan rénal et hépatique à la recherche d’une tare contre indiquant une éventuelle chimiothérapie</w:t>
      </w:r>
    </w:p>
    <w:p w14:paraId="74544090" w14:textId="77777777" w:rsidR="00B3201E" w:rsidRPr="00B3201E" w:rsidRDefault="00B3201E" w:rsidP="00B3201E">
      <w:pPr>
        <w:pStyle w:val="listetoile"/>
      </w:pPr>
      <w:r w:rsidRPr="00B3201E">
        <w:t>Un dosage de Ca2+, LDH, PAL en cas de suspicion de métastases osseuses</w:t>
      </w:r>
    </w:p>
    <w:p w14:paraId="5F3DBE2F" w14:textId="77777777" w:rsidR="00B3201E" w:rsidRPr="00B3201E" w:rsidRDefault="00B3201E" w:rsidP="00B3201E">
      <w:pPr>
        <w:pStyle w:val="listetoile"/>
      </w:pPr>
      <w:r w:rsidRPr="00B3201E">
        <w:t>Un bilan thyroïdien (FT4, TSH) de référence avant la radiothérapie</w:t>
      </w:r>
    </w:p>
    <w:p w14:paraId="79A642C7" w14:textId="77777777" w:rsidR="00072669" w:rsidRDefault="00072669" w:rsidP="00E37FAB">
      <w:pPr>
        <w:pStyle w:val="Titre3"/>
      </w:pPr>
      <w:r>
        <w:t>Examen</w:t>
      </w:r>
      <w:r>
        <w:rPr>
          <w:spacing w:val="-1"/>
        </w:rPr>
        <w:t xml:space="preserve"> </w:t>
      </w:r>
      <w:r>
        <w:t>stomatologique</w:t>
      </w:r>
    </w:p>
    <w:p w14:paraId="3261BCF0" w14:textId="72D8CAC0" w:rsidR="00AE5210" w:rsidRDefault="00072669" w:rsidP="00AE5210">
      <w:pPr>
        <w:pStyle w:val="Paragraphedeliste"/>
      </w:pPr>
      <w:r>
        <w:t xml:space="preserve">Le bilan dentaire </w:t>
      </w:r>
      <w:r w:rsidR="00B3201E">
        <w:t>repose</w:t>
      </w:r>
      <w:r>
        <w:t xml:space="preserve"> sur </w:t>
      </w:r>
      <w:r w:rsidR="00034B0A">
        <w:t xml:space="preserve"> un </w:t>
      </w:r>
      <w:r>
        <w:t xml:space="preserve">examen clinique stomatologique et un cliché panoramique. </w:t>
      </w:r>
    </w:p>
    <w:p w14:paraId="409715A9" w14:textId="7A265292" w:rsidR="009F5339" w:rsidRPr="00934879" w:rsidRDefault="00072669" w:rsidP="00934879">
      <w:pPr>
        <w:pStyle w:val="Paragraphedeliste"/>
      </w:pPr>
      <w:r>
        <w:t>Il aboutit à une mise en état dentaire avec préparation de gouttières porte gel fluoré.</w:t>
      </w:r>
    </w:p>
    <w:p w14:paraId="55CD4DEB" w14:textId="77777777" w:rsidR="00072669" w:rsidRDefault="00072669" w:rsidP="00E37FAB">
      <w:pPr>
        <w:pStyle w:val="Titre3"/>
      </w:pPr>
      <w:r>
        <w:lastRenderedPageBreak/>
        <w:t>Bilan</w:t>
      </w:r>
      <w:r>
        <w:rPr>
          <w:spacing w:val="-1"/>
        </w:rPr>
        <w:t xml:space="preserve"> </w:t>
      </w:r>
      <w:r>
        <w:t>cardiaque</w:t>
      </w:r>
    </w:p>
    <w:p w14:paraId="25CF3422" w14:textId="31344077" w:rsidR="00D22B21" w:rsidRDefault="00072669" w:rsidP="00034B0A">
      <w:pPr>
        <w:pStyle w:val="Corpsdetexte"/>
      </w:pPr>
      <w:r>
        <w:t xml:space="preserve">Il comporte </w:t>
      </w:r>
      <w:r w:rsidRPr="00AE5210">
        <w:rPr>
          <w:rStyle w:val="bodystrongChar"/>
        </w:rPr>
        <w:t>un examen clinique</w:t>
      </w:r>
      <w:r>
        <w:t xml:space="preserve">, un </w:t>
      </w:r>
      <w:r w:rsidRPr="00AE5210">
        <w:rPr>
          <w:rStyle w:val="bodystrongChar"/>
        </w:rPr>
        <w:t>électrocardiogramme</w:t>
      </w:r>
      <w:r>
        <w:t xml:space="preserve"> et une </w:t>
      </w:r>
      <w:r w:rsidRPr="00AE5210">
        <w:rPr>
          <w:rStyle w:val="bodystrongChar"/>
        </w:rPr>
        <w:t>échographie</w:t>
      </w:r>
      <w:r>
        <w:t xml:space="preserve"> </w:t>
      </w:r>
      <w:r w:rsidRPr="00AE5210">
        <w:rPr>
          <w:rStyle w:val="bodystrongChar"/>
        </w:rPr>
        <w:t>cardiaque</w:t>
      </w:r>
      <w:r>
        <w:t xml:space="preserve"> afin de détecter d'éventuelles </w:t>
      </w:r>
      <w:r w:rsidRPr="00034B0A">
        <w:t>anomalies</w:t>
      </w:r>
      <w:r>
        <w:t xml:space="preserve"> cardiaques contre indiquant une</w:t>
      </w:r>
      <w:r>
        <w:rPr>
          <w:spacing w:val="-14"/>
        </w:rPr>
        <w:t xml:space="preserve"> </w:t>
      </w:r>
      <w:r>
        <w:t>chimiothérapie.</w:t>
      </w:r>
    </w:p>
    <w:p w14:paraId="5000129A" w14:textId="0AF091BE" w:rsidR="00CD2619" w:rsidRDefault="00CD2619" w:rsidP="00CD2619">
      <w:pPr>
        <w:pStyle w:val="Titre3"/>
      </w:pPr>
      <w:r>
        <w:t>Évaluation de l’état nutritionnel</w:t>
      </w:r>
    </w:p>
    <w:p w14:paraId="2DD66D25" w14:textId="77777777" w:rsidR="00CD2619" w:rsidRDefault="00CD2619" w:rsidP="00CD2619">
      <w:pPr>
        <w:pStyle w:val="listeespace"/>
      </w:pPr>
      <w:r>
        <w:t>Il comprend une évaluation du poids et de la taille avec calcul du BMI, ainsi qu’un dosage de l’albuminémie.</w:t>
      </w:r>
    </w:p>
    <w:p w14:paraId="1625FE0F" w14:textId="77DCE57B" w:rsidR="00CD2619" w:rsidRDefault="00CD2619" w:rsidP="00CD2619">
      <w:pPr>
        <w:pStyle w:val="Titre3"/>
      </w:pPr>
      <w:r>
        <w:t>Consultation d’oncofertilité</w:t>
      </w:r>
    </w:p>
    <w:p w14:paraId="3C99DB37" w14:textId="4A904237" w:rsidR="00CD2619" w:rsidRDefault="00CD2619" w:rsidP="00CD2619">
      <w:pPr>
        <w:pStyle w:val="listeespace"/>
      </w:pPr>
      <w:r>
        <w:t>Chez les patients en âge de procréer, il existe des techniques de préservation des gamètes avant une chimiothérapie potentiellement gonado-toxique</w:t>
      </w:r>
    </w:p>
    <w:p w14:paraId="165816C9" w14:textId="77777777" w:rsidR="00072669" w:rsidRDefault="00072669" w:rsidP="00E37FAB">
      <w:pPr>
        <w:pStyle w:val="Titre3"/>
      </w:pPr>
      <w:r>
        <w:t>Bilan</w:t>
      </w:r>
      <w:r>
        <w:rPr>
          <w:spacing w:val="-1"/>
        </w:rPr>
        <w:t xml:space="preserve"> </w:t>
      </w:r>
      <w:r>
        <w:t>audiométrique</w:t>
      </w:r>
    </w:p>
    <w:p w14:paraId="66B89ACC" w14:textId="58BD897D" w:rsidR="00934879" w:rsidRDefault="00072669" w:rsidP="00934879">
      <w:pPr>
        <w:pStyle w:val="listeespace"/>
      </w:pPr>
      <w:r>
        <w:t xml:space="preserve">Une audiométrie tonale et une </w:t>
      </w:r>
      <w:r w:rsidR="00CD2619">
        <w:t>impédancemétrie</w:t>
      </w:r>
      <w:r>
        <w:t xml:space="preserve"> sont demandées à la recherche d’une otite </w:t>
      </w:r>
      <w:r w:rsidR="00934879">
        <w:br/>
      </w:r>
      <w:r>
        <w:t>séro-muqueuse.</w:t>
      </w:r>
      <w:r w:rsidR="00A92B54" w:rsidRPr="00A92B54">
        <w:t xml:space="preserve"> </w:t>
      </w:r>
    </w:p>
    <w:p w14:paraId="4C6ECC13" w14:textId="20513706" w:rsidR="00072669" w:rsidRDefault="00A92B54" w:rsidP="00934879">
      <w:pPr>
        <w:pStyle w:val="listeespace"/>
      </w:pPr>
      <w:r>
        <w:t>En audiométrie tonale, il est classiquement observé une surdité de transmission et à</w:t>
      </w:r>
      <w:r w:rsidR="00934879">
        <w:t xml:space="preserve"> </w:t>
      </w:r>
      <w:r>
        <w:t>la tympanométrie une courbe plate ou en dôme.</w:t>
      </w:r>
    </w:p>
    <w:p w14:paraId="08C0901F" w14:textId="4F156C23" w:rsidR="009C6E9D" w:rsidRDefault="00CD2619" w:rsidP="009C6E9D">
      <w:pPr>
        <w:pStyle w:val="Titre3"/>
      </w:pPr>
      <w:r w:rsidRPr="009C6E9D">
        <w:t>Pan endoscopie</w:t>
      </w:r>
    </w:p>
    <w:p w14:paraId="7F3D8A9E" w14:textId="181CAD26" w:rsidR="00CD2619" w:rsidRPr="00CD2619" w:rsidRDefault="00CD2619" w:rsidP="00CD2619">
      <w:pPr>
        <w:pStyle w:val="listeespace"/>
        <w:rPr>
          <w:rFonts w:ascii="Cambria" w:eastAsiaTheme="majorEastAsia" w:hAnsi="Cambria" w:cstheme="majorBidi"/>
          <w:b/>
          <w:bCs/>
          <w:color w:val="002060"/>
          <w:spacing w:val="1"/>
          <w:w w:val="105"/>
        </w:rPr>
      </w:pPr>
      <w:r w:rsidRPr="00CD2619">
        <w:t>Une pan endoscopie des voies aérodigestives supérieures sous anesthésie générale à la recherche d’une localisation tumorale synchrone est seulement indiquée en cas de</w:t>
      </w:r>
      <w:r w:rsidR="00A92B54">
        <w:t xml:space="preserve"> cancer du</w:t>
      </w:r>
      <w:r w:rsidRPr="00CD2619">
        <w:t xml:space="preserve"> cavum de type carcinome épidermoïde kératinisant.</w:t>
      </w:r>
    </w:p>
    <w:p w14:paraId="5197D170" w14:textId="67C80390" w:rsidR="00072669" w:rsidRDefault="00072669" w:rsidP="00E37FAB">
      <w:pPr>
        <w:pStyle w:val="Titre2"/>
      </w:pPr>
      <w:r>
        <w:t xml:space="preserve"> Classification TNM</w:t>
      </w:r>
    </w:p>
    <w:p w14:paraId="307F76F0" w14:textId="77777777" w:rsidR="00AE5210" w:rsidRDefault="00072669" w:rsidP="00AE5210">
      <w:pPr>
        <w:pStyle w:val="Paragraphedeliste"/>
      </w:pPr>
      <w:r>
        <w:t xml:space="preserve">Au terme du bilan clinique et de l’imagerie, la tumeur est classée. </w:t>
      </w:r>
    </w:p>
    <w:p w14:paraId="484A9C0A" w14:textId="76BBCAFC" w:rsidR="00072669" w:rsidRDefault="00072669" w:rsidP="003B6C09">
      <w:pPr>
        <w:pStyle w:val="Paragraphedeliste"/>
        <w:ind w:right="-30"/>
      </w:pPr>
      <w:r>
        <w:t xml:space="preserve">La classification tumor-nodes-metastases (TNM) et l’Union internationale contre le cancer (UICC) </w:t>
      </w:r>
      <w:r w:rsidR="009F5339">
        <w:t>ont proposé</w:t>
      </w:r>
      <w:r>
        <w:t xml:space="preserve"> en 2017 une actualisation de la classification du </w:t>
      </w:r>
      <w:r w:rsidR="009F5339">
        <w:t>CNP</w:t>
      </w:r>
      <w:r>
        <w:t>, qui a une valeur d’orientation thérapeutique ainsi que pronostique.</w:t>
      </w:r>
    </w:p>
    <w:p w14:paraId="71510A1D" w14:textId="77777777" w:rsidR="00072669" w:rsidRDefault="00072669" w:rsidP="00AE5210">
      <w:pPr>
        <w:pStyle w:val="liste0"/>
      </w:pPr>
      <w:r>
        <w:t>Classification tumorale (T) :</w:t>
      </w:r>
    </w:p>
    <w:p w14:paraId="4CFDFC9C" w14:textId="77777777" w:rsidR="00072669" w:rsidRDefault="00072669" w:rsidP="008656C5">
      <w:pPr>
        <w:pStyle w:val="Corpsdetexte"/>
      </w:pPr>
      <w:r>
        <w:rPr>
          <w:b/>
        </w:rPr>
        <w:t xml:space="preserve">T1 </w:t>
      </w:r>
      <w:r>
        <w:t>: Tumeur confinée au nasopharynx ou s’étendant vers les tissus mous de l'oropharynx et/ou des fosses nasales sans extension</w:t>
      </w:r>
      <w:r>
        <w:rPr>
          <w:spacing w:val="-2"/>
        </w:rPr>
        <w:t xml:space="preserve"> </w:t>
      </w:r>
      <w:r>
        <w:t>parapharyngée.</w:t>
      </w:r>
    </w:p>
    <w:p w14:paraId="46D0D319" w14:textId="77777777" w:rsidR="00072669" w:rsidRDefault="00072669" w:rsidP="008656C5">
      <w:pPr>
        <w:pStyle w:val="Corpsdetexte"/>
      </w:pPr>
      <w:r>
        <w:rPr>
          <w:b/>
        </w:rPr>
        <w:t xml:space="preserve">T2 </w:t>
      </w:r>
      <w:r>
        <w:t>: Tumeur avec extension parapharyngée et/ou une infiltration du muscle ptérygoidienmédial, du muscle ptérygoidien latéral et/ou des muscles prévertébraux</w:t>
      </w:r>
    </w:p>
    <w:p w14:paraId="543F4B89" w14:textId="3E070565" w:rsidR="00072669" w:rsidRDefault="00072669" w:rsidP="008656C5">
      <w:pPr>
        <w:pStyle w:val="Corpsdetexte"/>
      </w:pPr>
      <w:r>
        <w:rPr>
          <w:b/>
        </w:rPr>
        <w:t>T3</w:t>
      </w:r>
      <w:r w:rsidR="005128D4">
        <w:rPr>
          <w:b/>
        </w:rPr>
        <w:t xml:space="preserve"> </w:t>
      </w:r>
      <w:r w:rsidR="005128D4">
        <w:t>: Tumeur</w:t>
      </w:r>
      <w:r>
        <w:t xml:space="preserve"> avec envahissement des structures osseuses de la base du crâne, des vertèbres cervicales, des apophyses ptérygoides et/ou des sinus paranasaux</w:t>
      </w:r>
    </w:p>
    <w:p w14:paraId="2EC010CF" w14:textId="77777777" w:rsidR="005128D4" w:rsidRDefault="005128D4" w:rsidP="008656C5">
      <w:pPr>
        <w:pStyle w:val="Corpsdetexte"/>
      </w:pPr>
    </w:p>
    <w:p w14:paraId="1088D10A" w14:textId="0BA5FF98" w:rsidR="00072669" w:rsidRPr="009F5339" w:rsidRDefault="00072669" w:rsidP="005128D4">
      <w:pPr>
        <w:pStyle w:val="Corpsdetexte"/>
      </w:pPr>
      <w:r>
        <w:rPr>
          <w:b/>
        </w:rPr>
        <w:lastRenderedPageBreak/>
        <w:t xml:space="preserve">T4 </w:t>
      </w:r>
      <w:r>
        <w:t xml:space="preserve">: Extension intracrânienne et/ou des nerfs crâniens, de l’hypopharynx, de l’orbite, de la glande parotide et/ou une infiltration au-delà de la surface externe du muscle </w:t>
      </w:r>
      <w:r w:rsidR="005128D4">
        <w:t>ptérygoïdien</w:t>
      </w:r>
      <w:r>
        <w:t xml:space="preserve"> latéral</w:t>
      </w:r>
    </w:p>
    <w:p w14:paraId="3F651639" w14:textId="77777777" w:rsidR="00072669" w:rsidRDefault="00072669" w:rsidP="00AE5210">
      <w:pPr>
        <w:pStyle w:val="liste0"/>
      </w:pPr>
      <w:r>
        <w:t>Classification des adénopathies (N)</w:t>
      </w:r>
    </w:p>
    <w:p w14:paraId="24126AA4" w14:textId="77777777" w:rsidR="00072669" w:rsidRDefault="00072669" w:rsidP="008656C5">
      <w:pPr>
        <w:pStyle w:val="Corpsdetexte"/>
      </w:pPr>
      <w:r>
        <w:rPr>
          <w:b/>
        </w:rPr>
        <w:t>NX</w:t>
      </w:r>
      <w:r>
        <w:t>. Les adénopathies régionales ne peuvent être évaluées</w:t>
      </w:r>
    </w:p>
    <w:p w14:paraId="7191D890" w14:textId="717A066B" w:rsidR="00072669" w:rsidRDefault="00072669" w:rsidP="008656C5">
      <w:pPr>
        <w:pStyle w:val="Corpsdetexte"/>
      </w:pPr>
      <w:r>
        <w:rPr>
          <w:b/>
        </w:rPr>
        <w:t>N0</w:t>
      </w:r>
      <w:r>
        <w:t xml:space="preserve">. </w:t>
      </w:r>
      <w:r w:rsidR="00AE5210">
        <w:t xml:space="preserve"> </w:t>
      </w:r>
      <w:r>
        <w:t>Pas d’adénopathies régionales métastatiques</w:t>
      </w:r>
    </w:p>
    <w:p w14:paraId="032DF4FE" w14:textId="6955777C" w:rsidR="00072669" w:rsidRDefault="00072669" w:rsidP="00401972">
      <w:pPr>
        <w:pStyle w:val="Corpsdetexte"/>
        <w:ind w:right="-313"/>
      </w:pPr>
      <w:r>
        <w:rPr>
          <w:b/>
        </w:rPr>
        <w:t>N1</w:t>
      </w:r>
      <w:r>
        <w:t>.</w:t>
      </w:r>
      <w:r w:rsidR="00AE5210">
        <w:t xml:space="preserve"> </w:t>
      </w:r>
      <w:r>
        <w:t>Adénopathies métastatiques cervicales unilatérales et/ou Adénopathies uni ou bilatérales rétropharyngés, Toutes ≤ 6 cm au-dessus du bord inférieur du cartilage cricoïde</w:t>
      </w:r>
    </w:p>
    <w:p w14:paraId="151C5E50" w14:textId="4E75DC57" w:rsidR="00072669" w:rsidRDefault="00072669" w:rsidP="00D22B21">
      <w:pPr>
        <w:pStyle w:val="Corpsdetexte"/>
        <w:ind w:right="-455"/>
      </w:pPr>
      <w:r>
        <w:rPr>
          <w:b/>
        </w:rPr>
        <w:t>N2</w:t>
      </w:r>
      <w:r>
        <w:t>. Adénopathies métastatiques cervicales</w:t>
      </w:r>
      <w:r w:rsidR="00401972">
        <w:t xml:space="preserve"> </w:t>
      </w:r>
      <w:r>
        <w:t>bilatérales ≤ 6 cm, au-dessus du bord inférieur du cartilage cricoïde</w:t>
      </w:r>
    </w:p>
    <w:p w14:paraId="7C5AD2B7" w14:textId="77777777" w:rsidR="00072669" w:rsidRDefault="00072669" w:rsidP="008656C5">
      <w:pPr>
        <w:pStyle w:val="Corpsdetexte"/>
      </w:pPr>
      <w:r>
        <w:rPr>
          <w:b/>
        </w:rPr>
        <w:t>N3</w:t>
      </w:r>
      <w:r>
        <w:t>. Adénopathies métastatiques cervicales &gt; 6 cm et/ou extension au-dessous du bord inférieur du cartilage cricoïde</w:t>
      </w:r>
    </w:p>
    <w:p w14:paraId="4352BB67" w14:textId="77777777" w:rsidR="00072669" w:rsidRDefault="00072669" w:rsidP="008656C5">
      <w:pPr>
        <w:pStyle w:val="Corpsdetexte"/>
      </w:pPr>
      <w:r>
        <w:t>(Les adénopathies médianes sont considérées comme ipsilatérales.)</w:t>
      </w:r>
    </w:p>
    <w:p w14:paraId="2EC62B56" w14:textId="77777777" w:rsidR="00AE5210" w:rsidRDefault="00072669" w:rsidP="00AE5210">
      <w:pPr>
        <w:pStyle w:val="liste0"/>
      </w:pPr>
      <w:r>
        <w:t xml:space="preserve">Classification des métastases(M) : </w:t>
      </w:r>
    </w:p>
    <w:p w14:paraId="57EC413F" w14:textId="6B51736E" w:rsidR="00072669" w:rsidRDefault="00072669" w:rsidP="00AE5210">
      <w:pPr>
        <w:pStyle w:val="Corpsdetexte"/>
      </w:pPr>
      <w:r>
        <w:rPr>
          <w:b/>
        </w:rPr>
        <w:t xml:space="preserve">M0 </w:t>
      </w:r>
      <w:r>
        <w:t>absence de métastase</w:t>
      </w:r>
    </w:p>
    <w:p w14:paraId="1D8FFE22" w14:textId="77777777" w:rsidR="00072669" w:rsidRDefault="00072669" w:rsidP="00AE5210">
      <w:pPr>
        <w:pStyle w:val="Corpsdetexte"/>
      </w:pPr>
      <w:r>
        <w:rPr>
          <w:b/>
        </w:rPr>
        <w:t xml:space="preserve">M1 </w:t>
      </w:r>
      <w:r>
        <w:t>Présence de métastases à distance</w:t>
      </w:r>
    </w:p>
    <w:p w14:paraId="2DC7D276" w14:textId="77777777" w:rsidR="005128D4" w:rsidRDefault="005128D4" w:rsidP="00AE5210">
      <w:pPr>
        <w:pStyle w:val="Corpsdetexte"/>
      </w:pPr>
    </w:p>
    <w:p w14:paraId="6775BEDC" w14:textId="77777777" w:rsidR="00072669" w:rsidRDefault="00072669" w:rsidP="00E37FAB">
      <w:pPr>
        <w:pStyle w:val="Titre1"/>
      </w:pPr>
      <w:r>
        <w:t xml:space="preserve">Réunir les éléments </w:t>
      </w:r>
      <w:r w:rsidRPr="00E37FAB">
        <w:t>cliniques</w:t>
      </w:r>
      <w:r>
        <w:t xml:space="preserve"> et paracliniques permettant d’évaluer le pronostic du cancer du</w:t>
      </w:r>
      <w:r>
        <w:rPr>
          <w:spacing w:val="-2"/>
        </w:rPr>
        <w:t xml:space="preserve"> </w:t>
      </w:r>
      <w:r>
        <w:t>cavum.</w:t>
      </w:r>
    </w:p>
    <w:p w14:paraId="339E393A" w14:textId="77777777" w:rsidR="00072669" w:rsidRPr="00AE5210" w:rsidRDefault="00072669" w:rsidP="00AE5210">
      <w:pPr>
        <w:pStyle w:val="Paragraphedeliste"/>
      </w:pPr>
      <w:r w:rsidRPr="00AE5210">
        <w:t>La survie globale (ISA) : 44% à 5 ans ; 36% à 10 ans</w:t>
      </w:r>
    </w:p>
    <w:p w14:paraId="58063797" w14:textId="77777777" w:rsidR="00072669" w:rsidRPr="00AE5210" w:rsidRDefault="00072669" w:rsidP="00AE5210">
      <w:pPr>
        <w:pStyle w:val="Paragraphedeliste"/>
      </w:pPr>
      <w:r w:rsidRPr="00AE5210">
        <w:t>Après les protocoles de chimio-radiothérapie concomitante, les survies globales à 5 ans sont de l’ordre de 70 à 75%.</w:t>
      </w:r>
    </w:p>
    <w:p w14:paraId="018F8DAD" w14:textId="77777777" w:rsidR="00072669" w:rsidRPr="00AE5210" w:rsidRDefault="00072669" w:rsidP="00AE5210">
      <w:pPr>
        <w:pStyle w:val="Paragraphedeliste"/>
      </w:pPr>
      <w:r w:rsidRPr="00AE5210">
        <w:t>Les facteurs de mauvais pronostic sont :</w:t>
      </w:r>
    </w:p>
    <w:p w14:paraId="7B3AD5F3" w14:textId="77777777" w:rsidR="00072669" w:rsidRDefault="00072669" w:rsidP="00AE5210">
      <w:pPr>
        <w:pStyle w:val="listetoile"/>
      </w:pPr>
      <w:r>
        <w:t>Atteinte des paires</w:t>
      </w:r>
      <w:r>
        <w:rPr>
          <w:spacing w:val="-2"/>
        </w:rPr>
        <w:t xml:space="preserve"> </w:t>
      </w:r>
      <w:r>
        <w:t>crâniennes</w:t>
      </w:r>
    </w:p>
    <w:p w14:paraId="1B2EBCA6" w14:textId="77777777" w:rsidR="00072669" w:rsidRDefault="00072669" w:rsidP="00AE5210">
      <w:pPr>
        <w:pStyle w:val="listetoile"/>
      </w:pPr>
      <w:r>
        <w:t>Extension</w:t>
      </w:r>
      <w:r>
        <w:rPr>
          <w:spacing w:val="-1"/>
        </w:rPr>
        <w:t xml:space="preserve"> </w:t>
      </w:r>
      <w:r>
        <w:t>intracrânienne</w:t>
      </w:r>
    </w:p>
    <w:p w14:paraId="6B07E493" w14:textId="4402E0E3" w:rsidR="00072669" w:rsidRDefault="00072669" w:rsidP="00AE5210">
      <w:pPr>
        <w:pStyle w:val="listetoile"/>
      </w:pPr>
      <w:r>
        <w:t>Adénopathies</w:t>
      </w:r>
      <w:r>
        <w:rPr>
          <w:spacing w:val="-1"/>
        </w:rPr>
        <w:t xml:space="preserve"> </w:t>
      </w:r>
      <w:r w:rsidR="00CD2619" w:rsidRPr="00CD2619">
        <w:t>situé au-dessous du bord inférieur du cartilage cricoïde</w:t>
      </w:r>
    </w:p>
    <w:p w14:paraId="28D8C50E" w14:textId="77777777" w:rsidR="00072669" w:rsidRDefault="00072669" w:rsidP="00AE5210">
      <w:pPr>
        <w:pStyle w:val="listetoile"/>
      </w:pPr>
      <w:r>
        <w:t>Adénopathie &gt; 6</w:t>
      </w:r>
      <w:r>
        <w:rPr>
          <w:spacing w:val="-1"/>
        </w:rPr>
        <w:t xml:space="preserve"> </w:t>
      </w:r>
      <w:r>
        <w:t>cm</w:t>
      </w:r>
    </w:p>
    <w:p w14:paraId="1F0C620F" w14:textId="77777777" w:rsidR="00072669" w:rsidRDefault="00072669" w:rsidP="00AE5210">
      <w:pPr>
        <w:pStyle w:val="listetoile"/>
      </w:pPr>
      <w:r>
        <w:t>Métastases à</w:t>
      </w:r>
      <w:r>
        <w:rPr>
          <w:spacing w:val="-2"/>
        </w:rPr>
        <w:t xml:space="preserve"> </w:t>
      </w:r>
      <w:r>
        <w:t>distance</w:t>
      </w:r>
    </w:p>
    <w:p w14:paraId="391AA73A" w14:textId="77777777" w:rsidR="00072669" w:rsidRDefault="00072669" w:rsidP="00AE5210">
      <w:pPr>
        <w:pStyle w:val="listetoile"/>
      </w:pPr>
      <w:r>
        <w:t>Histologie type carcinome épidermoïde</w:t>
      </w:r>
      <w:r>
        <w:rPr>
          <w:spacing w:val="-6"/>
        </w:rPr>
        <w:t xml:space="preserve"> </w:t>
      </w:r>
      <w:r>
        <w:t>kératinaisant</w:t>
      </w:r>
    </w:p>
    <w:p w14:paraId="4E8E2460" w14:textId="77777777" w:rsidR="00072669" w:rsidRDefault="00072669" w:rsidP="00AE5210">
      <w:pPr>
        <w:pStyle w:val="listetoile"/>
      </w:pPr>
      <w:r>
        <w:t>Une élévation des titres d’anticorps circulants anti-EBV après une rémission clinique (suggestive de</w:t>
      </w:r>
      <w:r>
        <w:rPr>
          <w:spacing w:val="-4"/>
        </w:rPr>
        <w:t xml:space="preserve"> </w:t>
      </w:r>
      <w:r>
        <w:t>rechute)</w:t>
      </w:r>
    </w:p>
    <w:p w14:paraId="3E165B94" w14:textId="2D6712A0" w:rsidR="00AE5210" w:rsidRDefault="00072669" w:rsidP="00AE5210">
      <w:pPr>
        <w:pStyle w:val="Paragraphedeliste"/>
      </w:pPr>
      <w:r>
        <w:t xml:space="preserve">Les femmes et les enfants </w:t>
      </w:r>
      <w:r w:rsidRPr="00AE5210">
        <w:t>ont</w:t>
      </w:r>
      <w:r>
        <w:t xml:space="preserve"> tendance à présenter un pronostic plus</w:t>
      </w:r>
      <w:r>
        <w:rPr>
          <w:spacing w:val="-13"/>
        </w:rPr>
        <w:t xml:space="preserve"> </w:t>
      </w:r>
      <w:r>
        <w:t>favorable.</w:t>
      </w:r>
    </w:p>
    <w:p w14:paraId="6642465C" w14:textId="77777777" w:rsidR="00AE5210" w:rsidRDefault="00AE5210">
      <w:pPr>
        <w:widowControl/>
        <w:autoSpaceDE/>
        <w:autoSpaceDN/>
        <w:adjustRightInd/>
        <w:spacing w:after="160" w:line="259" w:lineRule="auto"/>
        <w:rPr>
          <w:szCs w:val="24"/>
          <w:lang w:eastAsia="en-US"/>
        </w:rPr>
      </w:pPr>
      <w:r>
        <w:br w:type="page"/>
      </w:r>
    </w:p>
    <w:p w14:paraId="7AC41B66" w14:textId="77777777" w:rsidR="00072669" w:rsidRDefault="00072669" w:rsidP="00E37FAB">
      <w:pPr>
        <w:pStyle w:val="Titre1"/>
      </w:pPr>
      <w:r>
        <w:lastRenderedPageBreak/>
        <w:t>Préciser les moyens thérapeutiques et leurs indications dans le cancer du</w:t>
      </w:r>
      <w:r>
        <w:rPr>
          <w:spacing w:val="-13"/>
        </w:rPr>
        <w:t xml:space="preserve"> </w:t>
      </w:r>
      <w:r>
        <w:t>cavum.</w:t>
      </w:r>
    </w:p>
    <w:p w14:paraId="5CF4633F" w14:textId="4AD4BE6B" w:rsidR="00AE5210" w:rsidRDefault="00072669" w:rsidP="00AE5210">
      <w:pPr>
        <w:pStyle w:val="Paragraphedeliste"/>
      </w:pPr>
      <w:r>
        <w:t xml:space="preserve">Le traitement des </w:t>
      </w:r>
      <w:r w:rsidR="00CD2619">
        <w:t>CNP</w:t>
      </w:r>
      <w:r>
        <w:t xml:space="preserve"> a connu au cours des années une évolution des moyens et des stratégies thérapeutiques. </w:t>
      </w:r>
    </w:p>
    <w:p w14:paraId="505C01B4" w14:textId="17922725" w:rsidR="00072669" w:rsidRDefault="00072669" w:rsidP="00AE5210">
      <w:pPr>
        <w:pStyle w:val="Paragraphedeliste"/>
      </w:pPr>
      <w:r>
        <w:t>Il fait appel à 3 moyens essentiels par ordre d’importance :</w:t>
      </w:r>
    </w:p>
    <w:p w14:paraId="74BA34B9" w14:textId="77777777" w:rsidR="00072669" w:rsidRDefault="00072669" w:rsidP="00AE5210">
      <w:pPr>
        <w:pStyle w:val="listetoile"/>
      </w:pPr>
      <w:r>
        <w:t>la</w:t>
      </w:r>
      <w:r>
        <w:rPr>
          <w:spacing w:val="-2"/>
        </w:rPr>
        <w:t xml:space="preserve"> </w:t>
      </w:r>
      <w:r>
        <w:t>radiothérapie</w:t>
      </w:r>
    </w:p>
    <w:p w14:paraId="26859159" w14:textId="77777777" w:rsidR="00072669" w:rsidRDefault="00072669" w:rsidP="00AE5210">
      <w:pPr>
        <w:pStyle w:val="listetoile"/>
      </w:pPr>
      <w:r>
        <w:t>la</w:t>
      </w:r>
      <w:r>
        <w:rPr>
          <w:spacing w:val="-2"/>
        </w:rPr>
        <w:t xml:space="preserve"> </w:t>
      </w:r>
      <w:r>
        <w:t>chimiothérapie</w:t>
      </w:r>
    </w:p>
    <w:p w14:paraId="6D25CBC9" w14:textId="77777777" w:rsidR="00072669" w:rsidRDefault="00072669" w:rsidP="00AE5210">
      <w:pPr>
        <w:pStyle w:val="listetoile"/>
      </w:pPr>
      <w:r>
        <w:t>et dans certains cas la</w:t>
      </w:r>
      <w:r>
        <w:rPr>
          <w:spacing w:val="-2"/>
        </w:rPr>
        <w:t xml:space="preserve"> </w:t>
      </w:r>
      <w:r>
        <w:t>chirurgie</w:t>
      </w:r>
    </w:p>
    <w:p w14:paraId="5E07D0A9" w14:textId="77777777" w:rsidR="00072669" w:rsidRDefault="00072669" w:rsidP="00AE5210">
      <w:pPr>
        <w:pStyle w:val="Paragraphedeliste"/>
      </w:pPr>
      <w:r>
        <w:t>Tous ces moyens ont pu améliorer la survie globale, toutefois les échecs locorégionaux et surtout à distance restent fréquents.</w:t>
      </w:r>
    </w:p>
    <w:p w14:paraId="6CDCB9EF" w14:textId="77777777" w:rsidR="00072669" w:rsidRDefault="00072669" w:rsidP="00AE5210">
      <w:pPr>
        <w:pStyle w:val="Paragraphedeliste"/>
      </w:pPr>
      <w:r>
        <w:t>La décision thérapeutique se prend au cours d’une réunion de concertation pluridisciplinaire comportant un médecin ORL, un radiothérapeute, un oncologue et un radiologue.</w:t>
      </w:r>
    </w:p>
    <w:p w14:paraId="6AD5FE28" w14:textId="77777777" w:rsidR="00072669" w:rsidRDefault="00072669" w:rsidP="00E37FAB">
      <w:pPr>
        <w:pStyle w:val="Titre2"/>
      </w:pPr>
      <w:r>
        <w:t>Moyens</w:t>
      </w:r>
      <w:r>
        <w:rPr>
          <w:spacing w:val="-1"/>
        </w:rPr>
        <w:t xml:space="preserve"> </w:t>
      </w:r>
      <w:r>
        <w:t>thérapeutiques</w:t>
      </w:r>
    </w:p>
    <w:p w14:paraId="2E8439F2" w14:textId="77777777" w:rsidR="00072669" w:rsidRDefault="00072669" w:rsidP="00AE5210">
      <w:pPr>
        <w:pStyle w:val="Titre3"/>
      </w:pPr>
      <w:r>
        <w:t>La</w:t>
      </w:r>
      <w:r>
        <w:rPr>
          <w:spacing w:val="-1"/>
        </w:rPr>
        <w:t xml:space="preserve"> </w:t>
      </w:r>
      <w:r>
        <w:t>radiothérapie</w:t>
      </w:r>
    </w:p>
    <w:p w14:paraId="21AFC4AB" w14:textId="77777777" w:rsidR="00072669" w:rsidRDefault="00072669" w:rsidP="00AE5210">
      <w:pPr>
        <w:pStyle w:val="Titre4"/>
      </w:pPr>
      <w:r>
        <w:t>Radiothérapie</w:t>
      </w:r>
      <w:r>
        <w:rPr>
          <w:spacing w:val="-2"/>
        </w:rPr>
        <w:t xml:space="preserve"> </w:t>
      </w:r>
      <w:r>
        <w:t>externe</w:t>
      </w:r>
    </w:p>
    <w:p w14:paraId="6F18A019" w14:textId="0964BB09" w:rsidR="00072669" w:rsidRPr="00427A38" w:rsidRDefault="00072669" w:rsidP="00427A38">
      <w:pPr>
        <w:pStyle w:val="Paragraphedeliste"/>
      </w:pPr>
      <w:r w:rsidRPr="00427A38">
        <w:t xml:space="preserve">La radiothérapie </w:t>
      </w:r>
      <w:r w:rsidR="00D0795B">
        <w:t>externe</w:t>
      </w:r>
      <w:r w:rsidRPr="00427A38">
        <w:t xml:space="preserve"> reste le traitement locorégional de référence.</w:t>
      </w:r>
    </w:p>
    <w:p w14:paraId="222C8469" w14:textId="51B7FD55" w:rsidR="00D0795B" w:rsidRDefault="00072669" w:rsidP="00D0795B">
      <w:pPr>
        <w:pStyle w:val="Paragraphedeliste"/>
      </w:pPr>
      <w:r w:rsidRPr="00427A38">
        <w:t xml:space="preserve">Elle nécessite une préparation à l’irradiation avec des soins dentaires, </w:t>
      </w:r>
      <w:r w:rsidR="00CD2619">
        <w:t>l</w:t>
      </w:r>
      <w:r w:rsidR="00E8238B">
        <w:t>a</w:t>
      </w:r>
      <w:r w:rsidR="00CD2619">
        <w:t xml:space="preserve"> </w:t>
      </w:r>
      <w:r w:rsidRPr="00427A38">
        <w:t>confection d</w:t>
      </w:r>
      <w:r w:rsidR="00CD2619">
        <w:t xml:space="preserve">’ une </w:t>
      </w:r>
      <w:r w:rsidRPr="00427A38">
        <w:t xml:space="preserve">gouttière porte gel fluoré </w:t>
      </w:r>
      <w:r w:rsidR="00D0795B" w:rsidRPr="00D0795B">
        <w:t xml:space="preserve">(pour prévenir les complications tardives à type d’ostéoradionécrose) et des bains de bouche systématiques (pour prévenir la radiomucite). </w:t>
      </w:r>
    </w:p>
    <w:p w14:paraId="47F863E1" w14:textId="18049E86" w:rsidR="00D0795B" w:rsidRDefault="00D0795B" w:rsidP="00D0795B">
      <w:pPr>
        <w:pStyle w:val="Paragraphedeliste"/>
      </w:pPr>
      <w:r w:rsidRPr="00D0795B">
        <w:t>Appareils : Accélérateur linéaire (rayon X de haute énergie).</w:t>
      </w:r>
    </w:p>
    <w:p w14:paraId="0442326E" w14:textId="77777777" w:rsidR="00D0795B" w:rsidRDefault="00D0795B" w:rsidP="00D0795B">
      <w:pPr>
        <w:pStyle w:val="bodyjump"/>
      </w:pPr>
    </w:p>
    <w:p w14:paraId="61727706" w14:textId="18888238" w:rsidR="00427A38" w:rsidRDefault="00072669" w:rsidP="00D0795B">
      <w:pPr>
        <w:pStyle w:val="Paragraphedeliste"/>
      </w:pPr>
      <w:r>
        <w:rPr>
          <w:b/>
        </w:rPr>
        <w:t xml:space="preserve">La radiothérapie conformationnelle avec modulation d’intensité« RCMI ou IMRT » </w:t>
      </w:r>
      <w:r w:rsidRPr="00427A38">
        <w:t>est</w:t>
      </w:r>
      <w:r>
        <w:t xml:space="preserve"> recommandée de première intention. A défaut </w:t>
      </w:r>
      <w:r>
        <w:rPr>
          <w:b/>
        </w:rPr>
        <w:t xml:space="preserve">la radiothérapie conformationnelle (3D) </w:t>
      </w:r>
      <w:r>
        <w:t xml:space="preserve">est proposée. </w:t>
      </w:r>
    </w:p>
    <w:p w14:paraId="47693EF0" w14:textId="77777777" w:rsidR="00427A38" w:rsidRDefault="00072669" w:rsidP="00427A38">
      <w:pPr>
        <w:pStyle w:val="Paragraphedeliste"/>
      </w:pPr>
      <w:r>
        <w:t xml:space="preserve">L’IMRT a permis l’amélioration de la distribution de la dose au niveau des volumes cibles et une meilleure protection des organes à risques. </w:t>
      </w:r>
    </w:p>
    <w:p w14:paraId="3B8FA042" w14:textId="7F4CFBEA" w:rsidR="00072669" w:rsidRDefault="00072669" w:rsidP="00427A38">
      <w:pPr>
        <w:pStyle w:val="Paragraphedeliste"/>
      </w:pPr>
      <w:r>
        <w:t>Elle est indiquée également en cas de réirradiation en cas de récidive</w:t>
      </w:r>
      <w:r>
        <w:rPr>
          <w:spacing w:val="-2"/>
        </w:rPr>
        <w:t xml:space="preserve"> </w:t>
      </w:r>
      <w:r>
        <w:t>locale.</w:t>
      </w:r>
    </w:p>
    <w:p w14:paraId="1003E011" w14:textId="77777777" w:rsidR="00072669" w:rsidRDefault="00072669" w:rsidP="00427A38">
      <w:pPr>
        <w:pStyle w:val="listeespace"/>
      </w:pPr>
      <w:r>
        <w:t>Technique</w:t>
      </w:r>
      <w:r>
        <w:rPr>
          <w:spacing w:val="-2"/>
        </w:rPr>
        <w:t xml:space="preserve"> </w:t>
      </w:r>
      <w:r>
        <w:t>:</w:t>
      </w:r>
    </w:p>
    <w:p w14:paraId="7FB7A8B7" w14:textId="77777777" w:rsidR="00072669" w:rsidRDefault="00072669" w:rsidP="00427A38">
      <w:pPr>
        <w:pStyle w:val="listetoile"/>
      </w:pPr>
      <w:r>
        <w:t>Positionnement avec contention par un masque</w:t>
      </w:r>
      <w:r>
        <w:rPr>
          <w:spacing w:val="-5"/>
        </w:rPr>
        <w:t xml:space="preserve"> </w:t>
      </w:r>
      <w:r>
        <w:t>thermo-formable</w:t>
      </w:r>
    </w:p>
    <w:p w14:paraId="43D06BB1" w14:textId="77777777" w:rsidR="00072669" w:rsidRDefault="00072669" w:rsidP="00427A38">
      <w:pPr>
        <w:pStyle w:val="listetoile"/>
      </w:pPr>
      <w:r>
        <w:t>Scanner en position du traitement (de</w:t>
      </w:r>
      <w:r>
        <w:rPr>
          <w:spacing w:val="-3"/>
        </w:rPr>
        <w:t xml:space="preserve"> </w:t>
      </w:r>
      <w:r>
        <w:t>radiothérapie)</w:t>
      </w:r>
    </w:p>
    <w:p w14:paraId="2DC03ED7" w14:textId="22001044" w:rsidR="00072669" w:rsidRDefault="00072669" w:rsidP="00427A38">
      <w:pPr>
        <w:pStyle w:val="listetoile"/>
      </w:pPr>
      <w:r>
        <w:t xml:space="preserve">Détermination des volumes cibles : </w:t>
      </w:r>
      <w:r w:rsidR="00CD2619">
        <w:t>nasopharynx</w:t>
      </w:r>
      <w:r>
        <w:t xml:space="preserve"> + extension tumorale + ganglions cervicaux atteints et non atteints</w:t>
      </w:r>
      <w:r>
        <w:rPr>
          <w:spacing w:val="-2"/>
        </w:rPr>
        <w:t xml:space="preserve"> </w:t>
      </w:r>
      <w:r>
        <w:t>(prophylactique)</w:t>
      </w:r>
    </w:p>
    <w:p w14:paraId="43379A44" w14:textId="77777777" w:rsidR="00072669" w:rsidRDefault="00072669" w:rsidP="00427A38">
      <w:pPr>
        <w:pStyle w:val="listetoile"/>
      </w:pPr>
      <w:r>
        <w:t>Détermination des champs</w:t>
      </w:r>
      <w:r>
        <w:rPr>
          <w:spacing w:val="-1"/>
        </w:rPr>
        <w:t xml:space="preserve"> </w:t>
      </w:r>
      <w:r>
        <w:t>d’irradiation</w:t>
      </w:r>
    </w:p>
    <w:p w14:paraId="47260C94" w14:textId="77777777" w:rsidR="00072669" w:rsidRDefault="00072669" w:rsidP="00427A38">
      <w:pPr>
        <w:pStyle w:val="listetoile"/>
      </w:pPr>
      <w:r>
        <w:t>Protection des organes à risque : moelle épinière, nerfs optiques,chiasma,yeux, tronc cérébral, hypophyse, lobes temporaux, parotides, larynx, thyroïde, denture</w:t>
      </w:r>
    </w:p>
    <w:p w14:paraId="19BD567F" w14:textId="77777777" w:rsidR="00072669" w:rsidRDefault="00072669" w:rsidP="00427A38">
      <w:pPr>
        <w:pStyle w:val="listetoile"/>
      </w:pPr>
      <w:r>
        <w:lastRenderedPageBreak/>
        <w:t>Dosimétrie par un physicien puis validation du plan du traitement par le médecin</w:t>
      </w:r>
    </w:p>
    <w:p w14:paraId="0FABF99E" w14:textId="77777777" w:rsidR="00072669" w:rsidRDefault="00072669" w:rsidP="00427A38">
      <w:pPr>
        <w:pStyle w:val="listeespace"/>
      </w:pPr>
      <w:r>
        <w:t>Les doses délivrées pour une radiothérapie curative</w:t>
      </w:r>
      <w:r>
        <w:rPr>
          <w:spacing w:val="-4"/>
        </w:rPr>
        <w:t xml:space="preserve"> </w:t>
      </w:r>
      <w:r>
        <w:t>:</w:t>
      </w:r>
    </w:p>
    <w:p w14:paraId="5393CDB5" w14:textId="77777777" w:rsidR="00072669" w:rsidRDefault="00072669" w:rsidP="001B10A8">
      <w:pPr>
        <w:pStyle w:val="niv2"/>
      </w:pPr>
      <w:r>
        <w:t>70 Gy : cavum + extension tumorale + ganglions initialement</w:t>
      </w:r>
      <w:r>
        <w:rPr>
          <w:spacing w:val="-10"/>
        </w:rPr>
        <w:t xml:space="preserve"> </w:t>
      </w:r>
      <w:r>
        <w:t>atteints</w:t>
      </w:r>
    </w:p>
    <w:p w14:paraId="68477224" w14:textId="77777777" w:rsidR="00072669" w:rsidRDefault="00072669" w:rsidP="001B10A8">
      <w:pPr>
        <w:pStyle w:val="niv2"/>
      </w:pPr>
      <w:r>
        <w:t>54 Gy : ganglions cervicaux bilatéraux</w:t>
      </w:r>
      <w:r>
        <w:rPr>
          <w:spacing w:val="-3"/>
        </w:rPr>
        <w:t xml:space="preserve"> </w:t>
      </w:r>
      <w:r>
        <w:t>(prophylactique)</w:t>
      </w:r>
    </w:p>
    <w:p w14:paraId="17F2C3AB" w14:textId="77777777" w:rsidR="00072669" w:rsidRDefault="00072669" w:rsidP="00427A38">
      <w:pPr>
        <w:pStyle w:val="listeespace"/>
      </w:pPr>
      <w:r>
        <w:t>Etalement fractionnement</w:t>
      </w:r>
      <w:r>
        <w:rPr>
          <w:spacing w:val="-2"/>
        </w:rPr>
        <w:t xml:space="preserve"> </w:t>
      </w:r>
      <w:r>
        <w:t>:</w:t>
      </w:r>
    </w:p>
    <w:p w14:paraId="574942DF" w14:textId="77777777" w:rsidR="00072669" w:rsidRDefault="00072669" w:rsidP="001B10A8">
      <w:pPr>
        <w:pStyle w:val="niv2"/>
      </w:pPr>
      <w:r>
        <w:t>Classique (++) : 1,8 – 2 Gy / séance ; 5 séances par</w:t>
      </w:r>
      <w:r>
        <w:rPr>
          <w:spacing w:val="-5"/>
        </w:rPr>
        <w:t xml:space="preserve"> </w:t>
      </w:r>
      <w:r>
        <w:t>semaine</w:t>
      </w:r>
    </w:p>
    <w:p w14:paraId="28931A49" w14:textId="77777777" w:rsidR="00072669" w:rsidRDefault="00072669" w:rsidP="00AE5210">
      <w:pPr>
        <w:pStyle w:val="Titre4"/>
      </w:pPr>
      <w:r>
        <w:t>Curiethérapie</w:t>
      </w:r>
    </w:p>
    <w:p w14:paraId="2E64382A" w14:textId="77777777" w:rsidR="00072669" w:rsidRDefault="00072669" w:rsidP="00E86C62">
      <w:pPr>
        <w:pStyle w:val="listeespace"/>
      </w:pPr>
      <w:r>
        <w:t>Elle ne permet que le traitement</w:t>
      </w:r>
      <w:r>
        <w:rPr>
          <w:spacing w:val="-6"/>
        </w:rPr>
        <w:t xml:space="preserve"> </w:t>
      </w:r>
      <w:r>
        <w:t>local.</w:t>
      </w:r>
    </w:p>
    <w:p w14:paraId="55CB6E56" w14:textId="77777777" w:rsidR="00072669" w:rsidRDefault="00072669" w:rsidP="00E86C62">
      <w:pPr>
        <w:pStyle w:val="listeespace"/>
      </w:pPr>
      <w:r>
        <w:t>Elle peut être associée à la radiothérapie externe pour un complément lors du traitement initial ou en cas de</w:t>
      </w:r>
      <w:r>
        <w:rPr>
          <w:spacing w:val="-3"/>
        </w:rPr>
        <w:t xml:space="preserve"> </w:t>
      </w:r>
      <w:r>
        <w:t>rechute.</w:t>
      </w:r>
    </w:p>
    <w:p w14:paraId="7854B33A" w14:textId="77777777" w:rsidR="00072669" w:rsidRDefault="00072669" w:rsidP="00E86C62">
      <w:pPr>
        <w:pStyle w:val="listeespace"/>
      </w:pPr>
      <w:r>
        <w:t>Avantage : meilleure protection des tissus normaux en raison de son action dans ou au voisinage de la tumeur</w:t>
      </w:r>
      <w:r>
        <w:rPr>
          <w:spacing w:val="-4"/>
        </w:rPr>
        <w:t xml:space="preserve"> </w:t>
      </w:r>
      <w:r>
        <w:t>nasopharyngée</w:t>
      </w:r>
    </w:p>
    <w:p w14:paraId="646CBE0A" w14:textId="77777777" w:rsidR="00072669" w:rsidRDefault="00072669" w:rsidP="001B10A8">
      <w:pPr>
        <w:pStyle w:val="listeespace"/>
      </w:pPr>
      <w:r>
        <w:t>Dose : 6 – 24 Gy en 2 à 5 fractions après radiothérapie</w:t>
      </w:r>
      <w:r>
        <w:rPr>
          <w:spacing w:val="-7"/>
        </w:rPr>
        <w:t xml:space="preserve"> </w:t>
      </w:r>
      <w:r>
        <w:t>externe</w:t>
      </w:r>
    </w:p>
    <w:p w14:paraId="78A4C36A" w14:textId="6A036EC1" w:rsidR="00072669" w:rsidRDefault="00072669" w:rsidP="005128D4">
      <w:pPr>
        <w:pStyle w:val="listeespace"/>
      </w:pPr>
      <w:r>
        <w:t>Technique : sonde endotrachéale portant des sources radioactives (Iridium 192) ou applicateur moulé</w:t>
      </w:r>
      <w:r>
        <w:rPr>
          <w:spacing w:val="-2"/>
        </w:rPr>
        <w:t xml:space="preserve"> </w:t>
      </w:r>
      <w:r>
        <w:t>personnalisé</w:t>
      </w:r>
    </w:p>
    <w:p w14:paraId="63E9A494" w14:textId="77777777" w:rsidR="00072669" w:rsidRDefault="00072669" w:rsidP="00AE5210">
      <w:pPr>
        <w:pStyle w:val="Titre4"/>
      </w:pPr>
      <w:r>
        <w:t>Effets secondaires de la</w:t>
      </w:r>
      <w:r>
        <w:rPr>
          <w:spacing w:val="-2"/>
        </w:rPr>
        <w:t xml:space="preserve"> </w:t>
      </w:r>
      <w:r>
        <w:t>radiothérapie</w:t>
      </w:r>
    </w:p>
    <w:p w14:paraId="155BB156" w14:textId="77777777" w:rsidR="00072669" w:rsidRDefault="00072669" w:rsidP="001B10A8">
      <w:pPr>
        <w:pStyle w:val="listeespace"/>
      </w:pPr>
      <w:r>
        <w:t>Effets aigus</w:t>
      </w:r>
      <w:r>
        <w:rPr>
          <w:spacing w:val="-1"/>
        </w:rPr>
        <w:t xml:space="preserve"> </w:t>
      </w:r>
      <w:r>
        <w:t>:</w:t>
      </w:r>
    </w:p>
    <w:p w14:paraId="79AEF579" w14:textId="77777777" w:rsidR="00072669" w:rsidRDefault="00072669" w:rsidP="001B10A8">
      <w:pPr>
        <w:pStyle w:val="listetoile"/>
      </w:pPr>
      <w:r>
        <w:t>Radiodermite</w:t>
      </w:r>
    </w:p>
    <w:p w14:paraId="480C1CDD" w14:textId="77777777" w:rsidR="00072669" w:rsidRDefault="00072669" w:rsidP="001B10A8">
      <w:pPr>
        <w:pStyle w:val="listetoile"/>
      </w:pPr>
      <w:r>
        <w:t>Radiomucite</w:t>
      </w:r>
    </w:p>
    <w:p w14:paraId="13BC3882" w14:textId="77777777" w:rsidR="00072669" w:rsidRDefault="00072669" w:rsidP="001B10A8">
      <w:pPr>
        <w:pStyle w:val="listetoile"/>
      </w:pPr>
      <w:r>
        <w:t>Perte du goût et dysfonctionnement salivaire (salive épaisse et</w:t>
      </w:r>
      <w:r>
        <w:rPr>
          <w:spacing w:val="-13"/>
        </w:rPr>
        <w:t xml:space="preserve"> </w:t>
      </w:r>
      <w:r>
        <w:t>collante)</w:t>
      </w:r>
    </w:p>
    <w:p w14:paraId="36D08E1F" w14:textId="77777777" w:rsidR="00072669" w:rsidRDefault="00072669" w:rsidP="001B10A8">
      <w:pPr>
        <w:pStyle w:val="listeespace"/>
      </w:pPr>
      <w:r>
        <w:t>Effets tardifs</w:t>
      </w:r>
      <w:r>
        <w:rPr>
          <w:spacing w:val="-1"/>
        </w:rPr>
        <w:t xml:space="preserve"> </w:t>
      </w:r>
      <w:r>
        <w:t>:</w:t>
      </w:r>
    </w:p>
    <w:p w14:paraId="42CB4B91" w14:textId="77777777" w:rsidR="00E86C62" w:rsidRDefault="00E86C62" w:rsidP="001B10A8">
      <w:pPr>
        <w:pStyle w:val="listetoile"/>
        <w:sectPr w:rsidR="00E86C62" w:rsidSect="00EC3F5E">
          <w:headerReference w:type="default" r:id="rId8"/>
          <w:footerReference w:type="even" r:id="rId9"/>
          <w:footerReference w:type="default" r:id="rId10"/>
          <w:footerReference w:type="first" r:id="rId11"/>
          <w:type w:val="continuous"/>
          <w:pgSz w:w="11906" w:h="16838"/>
          <w:pgMar w:top="680" w:right="709" w:bottom="284" w:left="1304" w:header="706" w:footer="288" w:gutter="0"/>
          <w:cols w:space="708"/>
          <w:docGrid w:linePitch="360"/>
        </w:sectPr>
      </w:pPr>
    </w:p>
    <w:p w14:paraId="79E90C42" w14:textId="09CAC3EF" w:rsidR="00072669" w:rsidRDefault="00072669" w:rsidP="001B10A8">
      <w:pPr>
        <w:pStyle w:val="listetoile"/>
      </w:pPr>
      <w:r>
        <w:t>Fibrose / sclérose</w:t>
      </w:r>
      <w:r>
        <w:rPr>
          <w:spacing w:val="-4"/>
        </w:rPr>
        <w:t xml:space="preserve"> </w:t>
      </w:r>
      <w:r>
        <w:t>cervicale</w:t>
      </w:r>
    </w:p>
    <w:p w14:paraId="7C882760" w14:textId="77777777" w:rsidR="00072669" w:rsidRDefault="00072669" w:rsidP="001B10A8">
      <w:pPr>
        <w:pStyle w:val="listetoile"/>
      </w:pPr>
      <w:r>
        <w:t>Alopécie en zone</w:t>
      </w:r>
      <w:r>
        <w:rPr>
          <w:spacing w:val="-3"/>
        </w:rPr>
        <w:t xml:space="preserve"> </w:t>
      </w:r>
      <w:r>
        <w:t>irradiée</w:t>
      </w:r>
    </w:p>
    <w:p w14:paraId="0E5B8131" w14:textId="77777777" w:rsidR="00072669" w:rsidRDefault="00072669" w:rsidP="001B10A8">
      <w:pPr>
        <w:pStyle w:val="listetoile"/>
      </w:pPr>
      <w:r>
        <w:t>Hyposialie</w:t>
      </w:r>
    </w:p>
    <w:p w14:paraId="6777FD41" w14:textId="77777777" w:rsidR="00072669" w:rsidRDefault="00072669" w:rsidP="001B10A8">
      <w:pPr>
        <w:pStyle w:val="listetoile"/>
      </w:pPr>
      <w:r>
        <w:t>Caries</w:t>
      </w:r>
      <w:r>
        <w:rPr>
          <w:spacing w:val="-1"/>
        </w:rPr>
        <w:t xml:space="preserve"> </w:t>
      </w:r>
      <w:r>
        <w:t>dentaires</w:t>
      </w:r>
    </w:p>
    <w:p w14:paraId="013B9942" w14:textId="77777777" w:rsidR="00072669" w:rsidRDefault="00072669" w:rsidP="001B10A8">
      <w:pPr>
        <w:pStyle w:val="listetoile"/>
      </w:pPr>
      <w:r>
        <w:t>Rhinite</w:t>
      </w:r>
      <w:r>
        <w:rPr>
          <w:spacing w:val="-2"/>
        </w:rPr>
        <w:t xml:space="preserve"> </w:t>
      </w:r>
      <w:r>
        <w:t>crouteuse</w:t>
      </w:r>
    </w:p>
    <w:p w14:paraId="66732901" w14:textId="77777777" w:rsidR="00072669" w:rsidRDefault="00072669" w:rsidP="001B10A8">
      <w:pPr>
        <w:pStyle w:val="listetoile"/>
      </w:pPr>
      <w:r>
        <w:t>Hypoacousie</w:t>
      </w:r>
    </w:p>
    <w:p w14:paraId="6AF8F5C3" w14:textId="77777777" w:rsidR="00072669" w:rsidRDefault="00072669" w:rsidP="001B10A8">
      <w:pPr>
        <w:pStyle w:val="listetoile"/>
      </w:pPr>
      <w:r>
        <w:t>Trismus</w:t>
      </w:r>
    </w:p>
    <w:p w14:paraId="6BF91C71" w14:textId="77777777" w:rsidR="00072669" w:rsidRDefault="00072669" w:rsidP="001B10A8">
      <w:pPr>
        <w:pStyle w:val="listetoile"/>
      </w:pPr>
      <w:r>
        <w:t>Ostéoradionécrose</w:t>
      </w:r>
      <w:r>
        <w:rPr>
          <w:spacing w:val="-2"/>
        </w:rPr>
        <w:t xml:space="preserve"> </w:t>
      </w:r>
      <w:r>
        <w:t>(rare)</w:t>
      </w:r>
    </w:p>
    <w:p w14:paraId="4EC51CC0" w14:textId="77777777" w:rsidR="00072669" w:rsidRDefault="00072669" w:rsidP="001B10A8">
      <w:pPr>
        <w:pStyle w:val="listetoile"/>
      </w:pPr>
      <w:r>
        <w:t>Hypothyroïdie</w:t>
      </w:r>
    </w:p>
    <w:p w14:paraId="1397384B" w14:textId="77777777" w:rsidR="00E86C62" w:rsidRDefault="00E86C62" w:rsidP="001B10A8">
      <w:pPr>
        <w:pStyle w:val="listeespace"/>
        <w:sectPr w:rsidR="00E86C62" w:rsidSect="00E86C62">
          <w:type w:val="continuous"/>
          <w:pgSz w:w="11906" w:h="16838"/>
          <w:pgMar w:top="680" w:right="709" w:bottom="284" w:left="1304" w:header="706" w:footer="288" w:gutter="0"/>
          <w:cols w:num="2" w:space="708"/>
          <w:docGrid w:linePitch="360"/>
        </w:sectPr>
      </w:pPr>
    </w:p>
    <w:p w14:paraId="7AECDBC5" w14:textId="20BCD3B5" w:rsidR="00072669" w:rsidRDefault="00072669" w:rsidP="001B10A8">
      <w:pPr>
        <w:pStyle w:val="listeespace"/>
      </w:pPr>
      <w:r>
        <w:t>Chez</w:t>
      </w:r>
      <w:r w:rsidR="005128D4">
        <w:t xml:space="preserve"> </w:t>
      </w:r>
      <w:r>
        <w:t>l’enfant</w:t>
      </w:r>
      <w:r>
        <w:rPr>
          <w:spacing w:val="-1"/>
        </w:rPr>
        <w:t xml:space="preserve"> </w:t>
      </w:r>
      <w:r>
        <w:t>:</w:t>
      </w:r>
    </w:p>
    <w:p w14:paraId="6BB81597" w14:textId="77777777" w:rsidR="00072669" w:rsidRDefault="00072669" w:rsidP="001B10A8">
      <w:pPr>
        <w:pStyle w:val="listetoile"/>
      </w:pPr>
      <w:r>
        <w:t>Troubles localisés de la croissance des os de la face (dysmorphie</w:t>
      </w:r>
      <w:r>
        <w:rPr>
          <w:spacing w:val="-23"/>
        </w:rPr>
        <w:t xml:space="preserve"> </w:t>
      </w:r>
      <w:r>
        <w:t>craniofaciale)</w:t>
      </w:r>
    </w:p>
    <w:p w14:paraId="102139F8" w14:textId="77777777" w:rsidR="00072669" w:rsidRDefault="00072669" w:rsidP="001B10A8">
      <w:pPr>
        <w:pStyle w:val="listetoile"/>
      </w:pPr>
      <w:r>
        <w:t>Troubles endocriniens</w:t>
      </w:r>
      <w:r>
        <w:rPr>
          <w:spacing w:val="-1"/>
        </w:rPr>
        <w:t xml:space="preserve"> </w:t>
      </w:r>
      <w:r>
        <w:t>hypophysaires</w:t>
      </w:r>
    </w:p>
    <w:p w14:paraId="65B99929" w14:textId="7E6F93DE" w:rsidR="00E86C62" w:rsidRDefault="00072669" w:rsidP="001B10A8">
      <w:pPr>
        <w:pStyle w:val="listetoile"/>
      </w:pPr>
      <w:r>
        <w:t>Cancer secondaire en territoire</w:t>
      </w:r>
      <w:r>
        <w:rPr>
          <w:spacing w:val="-3"/>
        </w:rPr>
        <w:t xml:space="preserve"> </w:t>
      </w:r>
      <w:r>
        <w:t>irradié</w:t>
      </w:r>
    </w:p>
    <w:p w14:paraId="1988A64F" w14:textId="77777777" w:rsidR="00E86C62" w:rsidRDefault="00E86C62">
      <w:pPr>
        <w:widowControl/>
        <w:autoSpaceDE/>
        <w:autoSpaceDN/>
        <w:adjustRightInd/>
        <w:spacing w:after="160" w:line="259" w:lineRule="auto"/>
        <w:rPr>
          <w:iCs/>
          <w:szCs w:val="24"/>
          <w:lang w:eastAsia="en-US"/>
        </w:rPr>
      </w:pPr>
      <w:r>
        <w:br w:type="page"/>
      </w:r>
    </w:p>
    <w:p w14:paraId="1C35B155" w14:textId="77777777" w:rsidR="00072669" w:rsidRDefault="00072669" w:rsidP="00AE5210">
      <w:pPr>
        <w:pStyle w:val="Titre3"/>
      </w:pPr>
      <w:r>
        <w:lastRenderedPageBreak/>
        <w:t>Chimiothérapie</w:t>
      </w:r>
    </w:p>
    <w:p w14:paraId="52E0D1E2" w14:textId="77777777" w:rsidR="00072669" w:rsidRDefault="00072669" w:rsidP="006D0154">
      <w:pPr>
        <w:pStyle w:val="listeespace"/>
      </w:pPr>
      <w:r>
        <w:t>Les carcinomes épidermoïdes non kératinisants sont généralement très chimio- sensibles.</w:t>
      </w:r>
    </w:p>
    <w:p w14:paraId="15E0BA4C" w14:textId="3DE65C71" w:rsidR="00072669" w:rsidRDefault="00072669" w:rsidP="00E86C62">
      <w:pPr>
        <w:pStyle w:val="Paragraphedeliste"/>
      </w:pPr>
      <w:r>
        <w:t>Les drogues actives sont le cisplatine, le 5-fluorouracile,les taxanes, et l’adriamycine et plus récemment et la</w:t>
      </w:r>
      <w:r>
        <w:rPr>
          <w:spacing w:val="-14"/>
        </w:rPr>
        <w:t xml:space="preserve"> </w:t>
      </w:r>
      <w:r>
        <w:t>gemcitabine.</w:t>
      </w:r>
    </w:p>
    <w:p w14:paraId="6957BE5D" w14:textId="77777777" w:rsidR="00072669" w:rsidRDefault="00072669" w:rsidP="006D0154">
      <w:pPr>
        <w:pStyle w:val="listeespace"/>
      </w:pPr>
      <w:r>
        <w:t>Plusieurs protocoles ont été utilisés</w:t>
      </w:r>
      <w:r>
        <w:rPr>
          <w:spacing w:val="-3"/>
        </w:rPr>
        <w:t xml:space="preserve"> </w:t>
      </w:r>
      <w:r>
        <w:t>:</w:t>
      </w:r>
    </w:p>
    <w:p w14:paraId="662EDDEF" w14:textId="15F4F0A2" w:rsidR="00072669" w:rsidRDefault="00072669" w:rsidP="006D0154">
      <w:pPr>
        <w:pStyle w:val="niv15"/>
      </w:pPr>
      <w:r w:rsidRPr="006D0154">
        <w:rPr>
          <w:rStyle w:val="bodystrongChar"/>
        </w:rPr>
        <w:t>Chimiothérapie adjuvante</w:t>
      </w:r>
      <w:r>
        <w:t xml:space="preserve"> qui a été pratiquement</w:t>
      </w:r>
      <w:r>
        <w:rPr>
          <w:spacing w:val="-9"/>
        </w:rPr>
        <w:t xml:space="preserve"> </w:t>
      </w:r>
      <w:r>
        <w:t>abandonnée.</w:t>
      </w:r>
    </w:p>
    <w:p w14:paraId="70C02229" w14:textId="77777777" w:rsidR="006D0154" w:rsidRDefault="006D0154" w:rsidP="006D0154">
      <w:pPr>
        <w:pStyle w:val="bodyjump"/>
      </w:pPr>
    </w:p>
    <w:p w14:paraId="624A0A6A" w14:textId="77777777" w:rsidR="006D0154" w:rsidRDefault="00072669" w:rsidP="006D0154">
      <w:pPr>
        <w:pStyle w:val="niv15"/>
      </w:pPr>
      <w:r w:rsidRPr="006D0154">
        <w:rPr>
          <w:rStyle w:val="bodystrongChar"/>
        </w:rPr>
        <w:t>Chimiothérapie néo-adjuvante (première)</w:t>
      </w:r>
      <w:r>
        <w:t xml:space="preserve"> : </w:t>
      </w:r>
    </w:p>
    <w:p w14:paraId="6D4BE977" w14:textId="77777777" w:rsidR="006D0154" w:rsidRDefault="00072669" w:rsidP="006D0154">
      <w:pPr>
        <w:pStyle w:val="listeniv2"/>
      </w:pPr>
      <w:r>
        <w:t xml:space="preserve">c’est une approche recommandée chez les patients ayant une tumeur localement avancée avec un haut risque métastatique. </w:t>
      </w:r>
    </w:p>
    <w:p w14:paraId="381E2DA5" w14:textId="77777777" w:rsidR="006D0154" w:rsidRDefault="00072669" w:rsidP="006D0154">
      <w:pPr>
        <w:pStyle w:val="listeniv2"/>
      </w:pPr>
      <w:r>
        <w:t xml:space="preserve">Le schéma de traitement comporte habituellement trois cycles avant l’irradiation permettant d’obtenir des taux de réponses objectives supérieurs à 75% plus sur les adénopathies cervicales que sur la tumeur nasopharyngée. </w:t>
      </w:r>
    </w:p>
    <w:p w14:paraId="2F050619" w14:textId="14486382" w:rsidR="00072669" w:rsidRDefault="00072669" w:rsidP="006D0154">
      <w:pPr>
        <w:pStyle w:val="listeniv2"/>
      </w:pPr>
      <w:r>
        <w:t>Elle réduit le risque de métastases infra-cliniques et elle améliore le contrôle local et régional en réduisant le volume tumoral à traiter par</w:t>
      </w:r>
      <w:r>
        <w:rPr>
          <w:spacing w:val="-1"/>
        </w:rPr>
        <w:t xml:space="preserve"> </w:t>
      </w:r>
      <w:r>
        <w:t>radiothérapie.</w:t>
      </w:r>
    </w:p>
    <w:p w14:paraId="025FF302" w14:textId="77777777" w:rsidR="006D0154" w:rsidRDefault="006D0154" w:rsidP="006D0154">
      <w:pPr>
        <w:pStyle w:val="bodyjump"/>
      </w:pPr>
    </w:p>
    <w:p w14:paraId="75C9E39C" w14:textId="77777777" w:rsidR="006D0154" w:rsidRDefault="00072669" w:rsidP="006D0154">
      <w:pPr>
        <w:pStyle w:val="niv15"/>
      </w:pPr>
      <w:r w:rsidRPr="006D0154">
        <w:rPr>
          <w:rStyle w:val="bodystrongChar"/>
        </w:rPr>
        <w:t>Chimio-radiothérapie concomitante :</w:t>
      </w:r>
      <w:r>
        <w:t xml:space="preserve"> </w:t>
      </w:r>
    </w:p>
    <w:p w14:paraId="41388FB6" w14:textId="77777777" w:rsidR="006D0154" w:rsidRDefault="00072669" w:rsidP="006D0154">
      <w:pPr>
        <w:pStyle w:val="listeniv2"/>
      </w:pPr>
      <w:r>
        <w:t xml:space="preserve">est actuellement le standard thérapeutique. </w:t>
      </w:r>
    </w:p>
    <w:p w14:paraId="1415414B" w14:textId="77777777" w:rsidR="006D0154" w:rsidRDefault="00072669" w:rsidP="006D0154">
      <w:pPr>
        <w:pStyle w:val="listeniv2"/>
      </w:pPr>
      <w:r>
        <w:t xml:space="preserve">La chimiothérapie administrée de façon concomitante à la radiothérapie est supposée augmenter l’efficacité de la radiothérapie sur la tumeur et diminuer la probabilité de métastases par son effet cytotoxique systémique. </w:t>
      </w:r>
    </w:p>
    <w:p w14:paraId="6EC7B29D" w14:textId="31EE0A7E" w:rsidR="00072669" w:rsidRDefault="00072669" w:rsidP="006D0154">
      <w:pPr>
        <w:pStyle w:val="listeniv2"/>
      </w:pPr>
      <w:r>
        <w:t>Ce protocole a montré un avantage net en termes de survie globale et de survie sans</w:t>
      </w:r>
      <w:r>
        <w:rPr>
          <w:spacing w:val="-3"/>
        </w:rPr>
        <w:t xml:space="preserve"> </w:t>
      </w:r>
      <w:r>
        <w:t>progression.</w:t>
      </w:r>
    </w:p>
    <w:p w14:paraId="7E1C2073" w14:textId="77777777" w:rsidR="00072669" w:rsidRDefault="00072669" w:rsidP="00AE5210">
      <w:pPr>
        <w:pStyle w:val="Titre3"/>
      </w:pPr>
      <w:r>
        <w:t>Chirurgie</w:t>
      </w:r>
    </w:p>
    <w:p w14:paraId="75E29B78" w14:textId="0A7D6A8A" w:rsidR="006D0154" w:rsidRDefault="00072669" w:rsidP="00A92B54">
      <w:pPr>
        <w:pStyle w:val="Paragraphedeliste"/>
      </w:pPr>
      <w:r>
        <w:t>La place de la chirurgie se limite à un complément thérapeutique en cas de régression ganglionnaire incomplète 3 à 4 mois après la fin de la radiothérapie</w:t>
      </w:r>
      <w:r w:rsidR="00A92B54">
        <w:t xml:space="preserve"> et en cas de rechute ganglionnaire,</w:t>
      </w:r>
      <w:r>
        <w:t xml:space="preserve"> et </w:t>
      </w:r>
      <w:r w:rsidR="00A92B54">
        <w:t xml:space="preserve">ceci </w:t>
      </w:r>
      <w:r>
        <w:t xml:space="preserve">après avoir vérifié l’absence de métastases à distance et la négativité de l’atteinte du </w:t>
      </w:r>
      <w:r w:rsidR="009161BA">
        <w:t>nasopharynx</w:t>
      </w:r>
      <w:r>
        <w:t xml:space="preserve"> (radiologique et histologique par biopsie ). </w:t>
      </w:r>
    </w:p>
    <w:p w14:paraId="1815DFE1" w14:textId="0E769298" w:rsidR="00072669" w:rsidRDefault="00072669" w:rsidP="006D0154">
      <w:pPr>
        <w:pStyle w:val="Paragraphedeliste"/>
      </w:pPr>
      <w:r>
        <w:t>Cette situation est relativement rare surtout depuis les nouvelles associations chimio-radiothérapie.</w:t>
      </w:r>
    </w:p>
    <w:p w14:paraId="56F9CB99" w14:textId="772EAD96" w:rsidR="00A92B54" w:rsidRDefault="00A92B54" w:rsidP="00A92B54">
      <w:pPr>
        <w:pStyle w:val="Paragraphedeliste"/>
      </w:pPr>
      <w:r w:rsidRPr="00A92B54">
        <w:t>La nasopharyngectomie notamment endoscopique, pratiquée par certaines équipes, est une</w:t>
      </w:r>
      <w:r>
        <w:t xml:space="preserve"> </w:t>
      </w:r>
      <w:r w:rsidRPr="00A92B54">
        <w:t>alternative thérapeutique pour les récidives locales et peu étendues.</w:t>
      </w:r>
    </w:p>
    <w:p w14:paraId="1A3A7735" w14:textId="77777777" w:rsidR="00072669" w:rsidRDefault="00072669" w:rsidP="00AE5210">
      <w:pPr>
        <w:pStyle w:val="Titre3"/>
      </w:pPr>
      <w:r>
        <w:t>Autres</w:t>
      </w:r>
      <w:r>
        <w:rPr>
          <w:spacing w:val="-1"/>
        </w:rPr>
        <w:t xml:space="preserve"> </w:t>
      </w:r>
      <w:r>
        <w:t>traitements</w:t>
      </w:r>
      <w:r>
        <w:rPr>
          <w:spacing w:val="2"/>
        </w:rPr>
        <w:t xml:space="preserve"> </w:t>
      </w:r>
    </w:p>
    <w:p w14:paraId="4FFBF622" w14:textId="77777777" w:rsidR="00072669" w:rsidRDefault="00072669" w:rsidP="006D0154">
      <w:pPr>
        <w:pStyle w:val="listcret"/>
      </w:pPr>
      <w:r>
        <w:t>Traitement</w:t>
      </w:r>
      <w:r>
        <w:rPr>
          <w:spacing w:val="-2"/>
        </w:rPr>
        <w:t xml:space="preserve"> </w:t>
      </w:r>
      <w:r>
        <w:t>antalgique.</w:t>
      </w:r>
    </w:p>
    <w:p w14:paraId="101E53F1" w14:textId="3E68A734" w:rsidR="00072669" w:rsidRDefault="00072669" w:rsidP="00E86C62">
      <w:pPr>
        <w:pStyle w:val="listcret"/>
        <w:ind w:right="-455"/>
      </w:pPr>
      <w:r>
        <w:t xml:space="preserve">L’utilisation de biphosphonates </w:t>
      </w:r>
      <w:r w:rsidRPr="006D0154">
        <w:rPr>
          <w:b w:val="0"/>
          <w:bCs w:val="0"/>
          <w:i w:val="0"/>
          <w:iCs w:val="0"/>
        </w:rPr>
        <w:t>peut être proposée en cas de métastases osseuses ostéolytiques ou</w:t>
      </w:r>
      <w:r w:rsidRPr="006D0154">
        <w:rPr>
          <w:b w:val="0"/>
          <w:bCs w:val="0"/>
          <w:i w:val="0"/>
          <w:iCs w:val="0"/>
          <w:spacing w:val="-1"/>
        </w:rPr>
        <w:t xml:space="preserve"> </w:t>
      </w:r>
      <w:r w:rsidRPr="006D0154">
        <w:rPr>
          <w:b w:val="0"/>
          <w:bCs w:val="0"/>
          <w:i w:val="0"/>
          <w:iCs w:val="0"/>
        </w:rPr>
        <w:t>d’hyper</w:t>
      </w:r>
      <w:r w:rsidR="00E86C62">
        <w:rPr>
          <w:b w:val="0"/>
          <w:bCs w:val="0"/>
          <w:i w:val="0"/>
          <w:iCs w:val="0"/>
        </w:rPr>
        <w:t>Ca</w:t>
      </w:r>
    </w:p>
    <w:p w14:paraId="7686F301" w14:textId="57A84D56" w:rsidR="00072669" w:rsidRDefault="00072669" w:rsidP="006D0154">
      <w:pPr>
        <w:pStyle w:val="listcret"/>
      </w:pPr>
      <w:r>
        <w:t>L’amifostine</w:t>
      </w:r>
      <w:r w:rsidR="006D0154">
        <w:t xml:space="preserve"> </w:t>
      </w:r>
      <w:r>
        <w:t>administré</w:t>
      </w:r>
      <w:r w:rsidR="006D0154">
        <w:t xml:space="preserve"> </w:t>
      </w:r>
      <w:r>
        <w:t>de</w:t>
      </w:r>
      <w:r w:rsidR="006D0154">
        <w:t xml:space="preserve"> </w:t>
      </w:r>
      <w:r>
        <w:t>façon</w:t>
      </w:r>
      <w:r w:rsidR="006D0154">
        <w:t xml:space="preserve"> </w:t>
      </w:r>
      <w:r>
        <w:t>concomitante</w:t>
      </w:r>
      <w:r w:rsidR="006D0154">
        <w:t xml:space="preserve"> </w:t>
      </w:r>
      <w:r>
        <w:t>à</w:t>
      </w:r>
      <w:r w:rsidR="006D0154">
        <w:t xml:space="preserve"> </w:t>
      </w:r>
      <w:r>
        <w:t>la</w:t>
      </w:r>
      <w:r w:rsidR="006D0154">
        <w:t xml:space="preserve"> </w:t>
      </w:r>
      <w:r>
        <w:t>radiothérapie</w:t>
      </w:r>
      <w:r w:rsidRPr="006D0154">
        <w:rPr>
          <w:b w:val="0"/>
          <w:bCs w:val="0"/>
          <w:i w:val="0"/>
          <w:iCs w:val="0"/>
        </w:rPr>
        <w:tab/>
      </w:r>
      <w:r w:rsidRPr="006D0154">
        <w:rPr>
          <w:b w:val="0"/>
          <w:bCs w:val="0"/>
          <w:i w:val="0"/>
          <w:iCs w:val="0"/>
          <w:spacing w:val="-4"/>
        </w:rPr>
        <w:t xml:space="preserve">diminue </w:t>
      </w:r>
      <w:r w:rsidRPr="006D0154">
        <w:rPr>
          <w:b w:val="0"/>
          <w:bCs w:val="0"/>
          <w:i w:val="0"/>
          <w:iCs w:val="0"/>
        </w:rPr>
        <w:t>significativement l’intensité et la durée de la</w:t>
      </w:r>
      <w:r w:rsidRPr="006D0154">
        <w:rPr>
          <w:b w:val="0"/>
          <w:bCs w:val="0"/>
          <w:i w:val="0"/>
          <w:iCs w:val="0"/>
          <w:spacing w:val="-8"/>
        </w:rPr>
        <w:t xml:space="preserve"> </w:t>
      </w:r>
      <w:r w:rsidRPr="006D0154">
        <w:rPr>
          <w:b w:val="0"/>
          <w:bCs w:val="0"/>
          <w:i w:val="0"/>
          <w:iCs w:val="0"/>
        </w:rPr>
        <w:t>xérostomie.</w:t>
      </w:r>
    </w:p>
    <w:p w14:paraId="3690E411" w14:textId="2DBE296F" w:rsidR="009161BA" w:rsidRPr="0009602F" w:rsidRDefault="00072669" w:rsidP="0009602F">
      <w:pPr>
        <w:pStyle w:val="listcret"/>
        <w:rPr>
          <w:b w:val="0"/>
          <w:bCs w:val="0"/>
          <w:i w:val="0"/>
          <w:iCs w:val="0"/>
        </w:rPr>
      </w:pPr>
      <w:r>
        <w:lastRenderedPageBreak/>
        <w:t xml:space="preserve">Thérapies ciblées : anti-epidermal growth factor (EGFR)  </w:t>
      </w:r>
      <w:r w:rsidRPr="006D0154">
        <w:rPr>
          <w:b w:val="0"/>
          <w:bCs w:val="0"/>
          <w:i w:val="0"/>
          <w:iCs w:val="0"/>
        </w:rPr>
        <w:t>pourrai</w:t>
      </w:r>
      <w:r w:rsidR="0031638D">
        <w:rPr>
          <w:b w:val="0"/>
          <w:bCs w:val="0"/>
          <w:i w:val="0"/>
          <w:iCs w:val="0"/>
        </w:rPr>
        <w:t>t</w:t>
      </w:r>
      <w:r w:rsidRPr="006D0154">
        <w:rPr>
          <w:b w:val="0"/>
          <w:bCs w:val="0"/>
          <w:i w:val="0"/>
          <w:iCs w:val="0"/>
        </w:rPr>
        <w:t xml:space="preserve"> avoir un rôle dans le</w:t>
      </w:r>
      <w:r w:rsidRPr="006D0154">
        <w:rPr>
          <w:b w:val="0"/>
          <w:bCs w:val="0"/>
          <w:i w:val="0"/>
          <w:iCs w:val="0"/>
          <w:spacing w:val="-4"/>
        </w:rPr>
        <w:t xml:space="preserve"> </w:t>
      </w:r>
      <w:r w:rsidRPr="006D0154">
        <w:rPr>
          <w:b w:val="0"/>
          <w:bCs w:val="0"/>
          <w:i w:val="0"/>
          <w:iCs w:val="0"/>
        </w:rPr>
        <w:t>futur.</w:t>
      </w:r>
    </w:p>
    <w:p w14:paraId="7EFD08C3" w14:textId="176A4616" w:rsidR="009161BA" w:rsidRDefault="009161BA" w:rsidP="006D0154">
      <w:pPr>
        <w:pStyle w:val="listcret"/>
      </w:pPr>
      <w:r w:rsidRPr="009161BA">
        <w:t xml:space="preserve">Immunothérapie : </w:t>
      </w:r>
      <w:r w:rsidRPr="009161BA">
        <w:rPr>
          <w:b w:val="0"/>
          <w:bCs w:val="0"/>
        </w:rPr>
        <w:t>elle représente un espoir thérapeutique. Des études actuellement en cours pour certains produits (phase 2) semblent donner des résultats prometteurs dans le cas de tumeurs métastatiques ou de rechutes</w:t>
      </w:r>
      <w:r w:rsidRPr="009161BA">
        <w:t>.</w:t>
      </w:r>
    </w:p>
    <w:p w14:paraId="5EB5BEC5" w14:textId="77777777" w:rsidR="00072669" w:rsidRDefault="00072669" w:rsidP="006D0154">
      <w:pPr>
        <w:pStyle w:val="listcret"/>
      </w:pPr>
      <w:r>
        <w:t>Prise en charge nutritionnelle et</w:t>
      </w:r>
      <w:r>
        <w:rPr>
          <w:spacing w:val="-4"/>
        </w:rPr>
        <w:t xml:space="preserve"> </w:t>
      </w:r>
      <w:r>
        <w:t>psychologique.</w:t>
      </w:r>
    </w:p>
    <w:p w14:paraId="7D646E05" w14:textId="77777777" w:rsidR="00072669" w:rsidRDefault="00072669" w:rsidP="00AE5210">
      <w:pPr>
        <w:pStyle w:val="Titre2"/>
      </w:pPr>
      <w:r>
        <w:t>Indications</w:t>
      </w:r>
      <w:r>
        <w:rPr>
          <w:spacing w:val="-1"/>
        </w:rPr>
        <w:t xml:space="preserve"> </w:t>
      </w:r>
      <w:r>
        <w:t>thérapeutiques</w:t>
      </w:r>
    </w:p>
    <w:p w14:paraId="10DDA995" w14:textId="77777777" w:rsidR="00072669" w:rsidRDefault="00072669" w:rsidP="00AE5210">
      <w:pPr>
        <w:pStyle w:val="Titre3"/>
      </w:pPr>
      <w:r>
        <w:t>Les formes non</w:t>
      </w:r>
      <w:r>
        <w:rPr>
          <w:spacing w:val="-1"/>
        </w:rPr>
        <w:t xml:space="preserve"> </w:t>
      </w:r>
      <w:r>
        <w:t>métastatiques</w:t>
      </w:r>
    </w:p>
    <w:p w14:paraId="22BF8509" w14:textId="77777777" w:rsidR="00072669" w:rsidRPr="006D0154" w:rsidRDefault="00072669" w:rsidP="006D0154">
      <w:pPr>
        <w:pStyle w:val="listx"/>
      </w:pPr>
      <w:r w:rsidRPr="006D0154">
        <w:rPr>
          <w:rStyle w:val="bodystrongChar"/>
        </w:rPr>
        <w:t>T1N0 :</w:t>
      </w:r>
      <w:r w:rsidRPr="006D0154">
        <w:t xml:space="preserve"> radiothérapie</w:t>
      </w:r>
      <w:r w:rsidRPr="006D0154">
        <w:rPr>
          <w:spacing w:val="-3"/>
        </w:rPr>
        <w:t xml:space="preserve"> </w:t>
      </w:r>
      <w:r w:rsidRPr="006D0154">
        <w:t>exclusive</w:t>
      </w:r>
    </w:p>
    <w:p w14:paraId="285F5DD2" w14:textId="77777777" w:rsidR="00072669" w:rsidRPr="006D0154" w:rsidRDefault="00072669" w:rsidP="006D0154">
      <w:pPr>
        <w:pStyle w:val="listx"/>
      </w:pPr>
      <w:r w:rsidRPr="006D0154">
        <w:rPr>
          <w:rStyle w:val="bodystrongChar"/>
        </w:rPr>
        <w:t>T2-4 N0, quel que soit T N1, T1-2 N2 :</w:t>
      </w:r>
      <w:r w:rsidRPr="006D0154">
        <w:t xml:space="preserve"> radio-chimiothérapie</w:t>
      </w:r>
      <w:r w:rsidRPr="006D0154">
        <w:rPr>
          <w:spacing w:val="-8"/>
        </w:rPr>
        <w:t xml:space="preserve"> </w:t>
      </w:r>
      <w:r w:rsidRPr="006D0154">
        <w:t>concomitante</w:t>
      </w:r>
    </w:p>
    <w:p w14:paraId="68C84644" w14:textId="77777777" w:rsidR="006D0154" w:rsidRDefault="00072669" w:rsidP="006D0154">
      <w:pPr>
        <w:pStyle w:val="listx"/>
      </w:pPr>
      <w:r w:rsidRPr="006D0154">
        <w:rPr>
          <w:rStyle w:val="bodystrongChar"/>
        </w:rPr>
        <w:t>Pour les carcinomes localement avancés (T3-4 N2, N3):</w:t>
      </w:r>
      <w:r w:rsidRPr="006D0154">
        <w:t xml:space="preserve"> </w:t>
      </w:r>
    </w:p>
    <w:p w14:paraId="3C78752C" w14:textId="77777777" w:rsidR="006D0154" w:rsidRDefault="00072669" w:rsidP="006D0154">
      <w:pPr>
        <w:pStyle w:val="niv2"/>
      </w:pPr>
      <w:r w:rsidRPr="006D0154">
        <w:t xml:space="preserve">chimiothérapie néoadjuvante </w:t>
      </w:r>
    </w:p>
    <w:p w14:paraId="6D9F19ED" w14:textId="64253772" w:rsidR="00072669" w:rsidRDefault="00072669" w:rsidP="006D0154">
      <w:pPr>
        <w:pStyle w:val="niv2"/>
      </w:pPr>
      <w:r w:rsidRPr="006D0154">
        <w:t>suivie de radio-chimiothérapie concomitante (ou suivie d’une radiothérapie seule si intolérance à la radio-chimiothérapie</w:t>
      </w:r>
      <w:r w:rsidRPr="006D0154">
        <w:rPr>
          <w:spacing w:val="-6"/>
        </w:rPr>
        <w:t xml:space="preserve"> </w:t>
      </w:r>
      <w:r w:rsidRPr="006D0154">
        <w:t>concomitante)</w:t>
      </w:r>
    </w:p>
    <w:p w14:paraId="02CD0EE6" w14:textId="77777777" w:rsidR="00A1007C" w:rsidRPr="006D0154" w:rsidRDefault="00A1007C" w:rsidP="00A1007C">
      <w:pPr>
        <w:pStyle w:val="bodyjump"/>
      </w:pPr>
    </w:p>
    <w:p w14:paraId="0BB294BC" w14:textId="77777777" w:rsidR="00072669" w:rsidRDefault="00072669" w:rsidP="00AE5210">
      <w:pPr>
        <w:pStyle w:val="Titre3"/>
      </w:pPr>
      <w:r>
        <w:t>Les formes</w:t>
      </w:r>
      <w:r>
        <w:rPr>
          <w:spacing w:val="-1"/>
        </w:rPr>
        <w:t xml:space="preserve"> </w:t>
      </w:r>
      <w:r>
        <w:t>métastatiques</w:t>
      </w:r>
    </w:p>
    <w:p w14:paraId="5D0098AF" w14:textId="77777777" w:rsidR="00072669" w:rsidRDefault="00072669" w:rsidP="006D0154">
      <w:pPr>
        <w:pStyle w:val="listeespace"/>
      </w:pPr>
      <w:r>
        <w:t>Carcinome du nasopharynx métastatique d’emblée : 3 à 6 cycles de chimiothérapie à base de cisplatine puis réévaluation : TDM/IRM du cavum + cavoscopie + cites métastatiques 2 à 3 semaines après la fin de la chimiothérapie</w:t>
      </w:r>
    </w:p>
    <w:p w14:paraId="7AEE47BD" w14:textId="07987E99" w:rsidR="00072669" w:rsidRDefault="00072669" w:rsidP="006D0154">
      <w:pPr>
        <w:pStyle w:val="niv15"/>
      </w:pPr>
      <w:r w:rsidRPr="006D0154">
        <w:rPr>
          <w:rStyle w:val="bodystrongChar"/>
        </w:rPr>
        <w:t>si réponse complète :</w:t>
      </w:r>
      <w:r>
        <w:t xml:space="preserve"> radiothérapie locorégionale +/- métastases osseuses</w:t>
      </w:r>
    </w:p>
    <w:p w14:paraId="22431985" w14:textId="4BFB5AE6" w:rsidR="00072669" w:rsidRDefault="00072669" w:rsidP="006D0154">
      <w:pPr>
        <w:pStyle w:val="niv15"/>
      </w:pPr>
      <w:r w:rsidRPr="006D0154">
        <w:rPr>
          <w:rStyle w:val="bodystrongChar"/>
        </w:rPr>
        <w:t>si réponse partielle ou progression :</w:t>
      </w:r>
      <w:r>
        <w:t xml:space="preserve"> radiothérapie palliative, chimiothérapie palliative/rattrapage, soins palliatifs</w:t>
      </w:r>
    </w:p>
    <w:p w14:paraId="0336C089" w14:textId="5C237CD1" w:rsidR="00072669" w:rsidRDefault="00072669" w:rsidP="006D0154">
      <w:pPr>
        <w:pStyle w:val="listeespace"/>
      </w:pPr>
      <w:r>
        <w:t>Une radiothérapie palliative</w:t>
      </w:r>
      <w:r w:rsidR="000B7A7D">
        <w:t>,</w:t>
      </w:r>
      <w:r w:rsidR="000B7A7D" w:rsidRPr="000B7A7D">
        <w:t xml:space="preserve"> sur les sites métastatiques,</w:t>
      </w:r>
      <w:r>
        <w:t xml:space="preserve"> peut être proposée en cas de métastases osseuses hyperalgiques ou menaçantes de fractures pathologiques ou de compression</w:t>
      </w:r>
      <w:r>
        <w:rPr>
          <w:spacing w:val="-6"/>
        </w:rPr>
        <w:t xml:space="preserve"> </w:t>
      </w:r>
      <w:r>
        <w:t>médullaire.</w:t>
      </w:r>
    </w:p>
    <w:p w14:paraId="01A9BB73" w14:textId="77777777" w:rsidR="00A1007C" w:rsidRDefault="00A1007C" w:rsidP="00A1007C">
      <w:pPr>
        <w:pStyle w:val="bodyjump"/>
      </w:pPr>
    </w:p>
    <w:p w14:paraId="66850A9B" w14:textId="77777777" w:rsidR="00072669" w:rsidRDefault="00072669" w:rsidP="00AE5210">
      <w:pPr>
        <w:pStyle w:val="Titre3"/>
      </w:pPr>
      <w:r>
        <w:t>Rechutes locales et /ou</w:t>
      </w:r>
      <w:r>
        <w:rPr>
          <w:spacing w:val="-1"/>
        </w:rPr>
        <w:t xml:space="preserve"> </w:t>
      </w:r>
      <w:r>
        <w:t>régionales</w:t>
      </w:r>
    </w:p>
    <w:p w14:paraId="18F4B70D" w14:textId="77777777" w:rsidR="00072669" w:rsidRDefault="00072669" w:rsidP="006D0154">
      <w:pPr>
        <w:pStyle w:val="listeespace"/>
      </w:pPr>
      <w:r w:rsidRPr="006D0154">
        <w:rPr>
          <w:rStyle w:val="bodystrongChar"/>
        </w:rPr>
        <w:t>rechutes locales isolées :</w:t>
      </w:r>
      <w:r>
        <w:t xml:space="preserve"> ré-irradiation externe ou curiethérapie, chimiothérapie, chirurgie (décision dans un comité de concertation</w:t>
      </w:r>
      <w:r>
        <w:rPr>
          <w:spacing w:val="-7"/>
        </w:rPr>
        <w:t xml:space="preserve"> </w:t>
      </w:r>
      <w:r>
        <w:t>multidisciplinaire)</w:t>
      </w:r>
    </w:p>
    <w:p w14:paraId="7F1F36ED" w14:textId="486BDCE4" w:rsidR="006C36EA" w:rsidRDefault="00072669" w:rsidP="006D0154">
      <w:pPr>
        <w:pStyle w:val="listeespace"/>
      </w:pPr>
      <w:r w:rsidRPr="006D0154">
        <w:rPr>
          <w:rStyle w:val="bodystrongChar"/>
        </w:rPr>
        <w:t>rechute ganglionnaire isolée :</w:t>
      </w:r>
      <w:r>
        <w:t xml:space="preserve"> curage ganglionnaire cervical +/-</w:t>
      </w:r>
      <w:r>
        <w:rPr>
          <w:spacing w:val="-11"/>
        </w:rPr>
        <w:t xml:space="preserve"> </w:t>
      </w:r>
      <w:r>
        <w:t>ré-irradiation</w:t>
      </w:r>
    </w:p>
    <w:p w14:paraId="6D05ED71" w14:textId="24F637EF" w:rsidR="006C36EA" w:rsidRDefault="006C36EA">
      <w:pPr>
        <w:widowControl/>
        <w:autoSpaceDE/>
        <w:autoSpaceDN/>
        <w:adjustRightInd/>
        <w:spacing w:after="160" w:line="259" w:lineRule="auto"/>
      </w:pPr>
    </w:p>
    <w:p w14:paraId="307AE1CD" w14:textId="75353708" w:rsidR="00870BA1" w:rsidRDefault="009161BA" w:rsidP="009161BA">
      <w:pPr>
        <w:widowControl/>
        <w:autoSpaceDE/>
        <w:autoSpaceDN/>
        <w:adjustRightInd/>
        <w:spacing w:after="160" w:line="259" w:lineRule="auto"/>
        <w:rPr>
          <w:szCs w:val="24"/>
          <w:lang w:eastAsia="en-US"/>
        </w:rPr>
      </w:pPr>
      <w:r>
        <w:rPr>
          <w:szCs w:val="24"/>
          <w:lang w:eastAsia="en-US"/>
        </w:rPr>
        <w:br w:type="page"/>
      </w:r>
    </w:p>
    <w:p w14:paraId="6B8B0DB1" w14:textId="77777777" w:rsidR="00072669" w:rsidRDefault="00072669" w:rsidP="00AE5210">
      <w:pPr>
        <w:pStyle w:val="Titre2"/>
      </w:pPr>
      <w:r>
        <w:lastRenderedPageBreak/>
        <w:t>Prévention –</w:t>
      </w:r>
      <w:r>
        <w:rPr>
          <w:spacing w:val="-1"/>
        </w:rPr>
        <w:t xml:space="preserve"> </w:t>
      </w:r>
      <w:r>
        <w:t>dépistage</w:t>
      </w:r>
    </w:p>
    <w:p w14:paraId="50993935" w14:textId="77777777" w:rsidR="00072669" w:rsidRDefault="00072669" w:rsidP="006C36EA">
      <w:pPr>
        <w:pStyle w:val="Paragraphedeliste"/>
      </w:pPr>
      <w:r>
        <w:t>Le dépistage a été testé dans les zones d’endémie asiatiques chez les sujets sains et / ou des parents de patients atteints de CNP. Il se base sur :</w:t>
      </w:r>
    </w:p>
    <w:p w14:paraId="2134947A" w14:textId="77777777" w:rsidR="00072669" w:rsidRDefault="00072669" w:rsidP="006D0154">
      <w:pPr>
        <w:pStyle w:val="listetoile"/>
      </w:pPr>
      <w:r>
        <w:t>Le dosage des taux sériques des anticorps</w:t>
      </w:r>
      <w:r>
        <w:rPr>
          <w:spacing w:val="-4"/>
        </w:rPr>
        <w:t xml:space="preserve"> </w:t>
      </w:r>
      <w:r>
        <w:t>anti-EBV.</w:t>
      </w:r>
    </w:p>
    <w:p w14:paraId="7930C736" w14:textId="77777777" w:rsidR="00072669" w:rsidRDefault="00072669" w:rsidP="006D0154">
      <w:pPr>
        <w:pStyle w:val="listetoile"/>
      </w:pPr>
      <w:r>
        <w:t>La recherche des protéines et de l’ADN viral sur les produits d’écouvillonnage nasopharyngé.</w:t>
      </w:r>
    </w:p>
    <w:p w14:paraId="5F5759FA" w14:textId="77777777" w:rsidR="00072669" w:rsidRDefault="00072669" w:rsidP="006D0154">
      <w:pPr>
        <w:pStyle w:val="listetoile"/>
      </w:pPr>
      <w:r>
        <w:t>Le dosage des marqueurs sériques : Cyfra 21, taux d’ADN sérique</w:t>
      </w:r>
      <w:r>
        <w:rPr>
          <w:spacing w:val="-8"/>
        </w:rPr>
        <w:t xml:space="preserve"> </w:t>
      </w:r>
      <w:r>
        <w:t>viral.</w:t>
      </w:r>
    </w:p>
    <w:p w14:paraId="5D8FDE2E" w14:textId="4D4AFF22" w:rsidR="00876FF5" w:rsidRPr="00A1007C" w:rsidRDefault="00072669" w:rsidP="00A1007C">
      <w:pPr>
        <w:pStyle w:val="listeespace"/>
      </w:pPr>
      <w:r>
        <w:t xml:space="preserve">L’utilisation plus courante des nasofibroscopes souples devrait augmenter considérablement l’efficacité de ce dépistage basé sur la détection sérologique avec un examen systématique du </w:t>
      </w:r>
      <w:r w:rsidR="009161BA">
        <w:t xml:space="preserve">nasopharynx </w:t>
      </w:r>
      <w:r>
        <w:t>à chaque consultation ORL.</w:t>
      </w:r>
    </w:p>
    <w:p w14:paraId="35A23E88" w14:textId="77777777" w:rsidR="00072669" w:rsidRDefault="00072669" w:rsidP="00AE5210">
      <w:pPr>
        <w:pStyle w:val="Titre1"/>
      </w:pPr>
      <w:r>
        <w:t xml:space="preserve">Planifier la </w:t>
      </w:r>
      <w:r w:rsidRPr="00AE5210">
        <w:t>surveillance</w:t>
      </w:r>
      <w:r>
        <w:t xml:space="preserve"> clinique et paraclinique d’un patient traité pour cancer du cavum.</w:t>
      </w:r>
    </w:p>
    <w:p w14:paraId="6AD430CE" w14:textId="77777777" w:rsidR="006D0154" w:rsidRDefault="00072669" w:rsidP="006D0154">
      <w:pPr>
        <w:pStyle w:val="listeespace"/>
      </w:pPr>
      <w:r>
        <w:t xml:space="preserve">Une surveillance post-thérapeutique est obligatoire à la recherche d’éventuels échecs locorégionaux et / ou à distance et pour déterminer et traiter les séquelles post-thérapeutiques. </w:t>
      </w:r>
    </w:p>
    <w:p w14:paraId="2C45ABAB" w14:textId="0A43EC7D" w:rsidR="00072669" w:rsidRDefault="00072669" w:rsidP="006D0154">
      <w:pPr>
        <w:pStyle w:val="listeespace"/>
      </w:pPr>
      <w:r>
        <w:t>Cette surveillance doit être prolongée car la guérison est loin d’être affirmée pour cette maladie grave.</w:t>
      </w:r>
    </w:p>
    <w:p w14:paraId="07D784CF" w14:textId="22D7399D" w:rsidR="00072669" w:rsidRDefault="00072669" w:rsidP="006D0154">
      <w:pPr>
        <w:pStyle w:val="listetoile"/>
      </w:pPr>
      <w:r>
        <w:t xml:space="preserve">Examen clinique (endoscopie du </w:t>
      </w:r>
      <w:r w:rsidR="009161BA">
        <w:t>nasopharynx</w:t>
      </w:r>
      <w:r>
        <w:t>) : tous les 3 mois / 2 ans puis tous les 6 mois / 3 ans puis une</w:t>
      </w:r>
      <w:r>
        <w:rPr>
          <w:spacing w:val="-2"/>
        </w:rPr>
        <w:t xml:space="preserve"> </w:t>
      </w:r>
      <w:r>
        <w:t>fois/an</w:t>
      </w:r>
    </w:p>
    <w:p w14:paraId="720EA9D3" w14:textId="49138D6F" w:rsidR="00072669" w:rsidRDefault="00072669" w:rsidP="006D0154">
      <w:pPr>
        <w:pStyle w:val="listetoile"/>
      </w:pPr>
      <w:r>
        <w:t xml:space="preserve">IRM ou TDM du </w:t>
      </w:r>
      <w:r w:rsidR="009161BA">
        <w:t>nasopharynx</w:t>
      </w:r>
      <w:r>
        <w:t xml:space="preserve"> : 3 mois après la fin de la radiothérapie puis une fois / an ou devant des signes</w:t>
      </w:r>
      <w:r>
        <w:rPr>
          <w:spacing w:val="-2"/>
        </w:rPr>
        <w:t xml:space="preserve"> </w:t>
      </w:r>
      <w:r>
        <w:t>d’appels</w:t>
      </w:r>
    </w:p>
    <w:p w14:paraId="3795FF6F" w14:textId="3993A7A4" w:rsidR="00072669" w:rsidRDefault="0009602F" w:rsidP="006D0154">
      <w:pPr>
        <w:pStyle w:val="listetoile"/>
      </w:pPr>
      <w:r w:rsidRPr="000B7A7D">
        <w:t>Scanner</w:t>
      </w:r>
      <w:r w:rsidR="000B7A7D" w:rsidRPr="000B7A7D">
        <w:t xml:space="preserve"> thoracique,</w:t>
      </w:r>
      <w:r w:rsidR="000B7A7D">
        <w:t xml:space="preserve"> </w:t>
      </w:r>
      <w:r w:rsidR="00072669">
        <w:t>échographie abdominale, scintigraphie osseuse une fois / an pendant 3 ans ou si signes</w:t>
      </w:r>
      <w:r w:rsidR="00072669">
        <w:rPr>
          <w:spacing w:val="-2"/>
        </w:rPr>
        <w:t xml:space="preserve"> </w:t>
      </w:r>
      <w:r w:rsidR="00072669">
        <w:t>d’appels</w:t>
      </w:r>
    </w:p>
    <w:p w14:paraId="107521DD" w14:textId="77777777" w:rsidR="00072669" w:rsidRDefault="00072669" w:rsidP="006D0154">
      <w:pPr>
        <w:pStyle w:val="listetoile"/>
      </w:pPr>
      <w:r>
        <w:t>Sérologie EBV à trois mois de la fin du traitement puis / 6 mois si les anticorps sont élevés en</w:t>
      </w:r>
      <w:r>
        <w:rPr>
          <w:spacing w:val="-1"/>
        </w:rPr>
        <w:t xml:space="preserve"> </w:t>
      </w:r>
      <w:r>
        <w:t>préthérapeutique</w:t>
      </w:r>
    </w:p>
    <w:p w14:paraId="78A0DB45" w14:textId="5284BBED" w:rsidR="00072669" w:rsidRDefault="00072669" w:rsidP="006D0154">
      <w:pPr>
        <w:pStyle w:val="listetoile"/>
      </w:pPr>
      <w:r>
        <w:t xml:space="preserve">Bilan </w:t>
      </w:r>
      <w:r w:rsidR="0009602F">
        <w:t>thyroïdien</w:t>
      </w:r>
      <w:r>
        <w:rPr>
          <w:spacing w:val="-1"/>
        </w:rPr>
        <w:t xml:space="preserve"> </w:t>
      </w:r>
      <w:r>
        <w:t>annuel</w:t>
      </w:r>
    </w:p>
    <w:p w14:paraId="4E08EAEA" w14:textId="77777777" w:rsidR="00072669" w:rsidRDefault="00072669" w:rsidP="006D0154">
      <w:pPr>
        <w:pStyle w:val="listetoile"/>
      </w:pPr>
      <w:r>
        <w:t>Examen dentaire : tous les 6</w:t>
      </w:r>
      <w:r>
        <w:rPr>
          <w:spacing w:val="-1"/>
        </w:rPr>
        <w:t xml:space="preserve"> </w:t>
      </w:r>
      <w:r>
        <w:t>mois</w:t>
      </w:r>
    </w:p>
    <w:p w14:paraId="11E0796A" w14:textId="6751D5D5" w:rsidR="00072669" w:rsidRDefault="00072669" w:rsidP="006D0154">
      <w:pPr>
        <w:pStyle w:val="listeespace"/>
      </w:pPr>
      <w:r>
        <w:t>Une prévention des caries post-radiques passe par l’application, à vie, de gel fluoré à raison  de cinq minutes par</w:t>
      </w:r>
      <w:r>
        <w:rPr>
          <w:spacing w:val="-2"/>
        </w:rPr>
        <w:t xml:space="preserve"> </w:t>
      </w:r>
      <w:r>
        <w:t>jour.</w:t>
      </w:r>
    </w:p>
    <w:p w14:paraId="4985344E" w14:textId="16346BB5" w:rsidR="00876FF5" w:rsidRDefault="00876FF5" w:rsidP="00876FF5">
      <w:pPr>
        <w:pStyle w:val="listeespace"/>
        <w:numPr>
          <w:ilvl w:val="0"/>
          <w:numId w:val="0"/>
        </w:numPr>
      </w:pPr>
    </w:p>
    <w:p w14:paraId="7414AA49" w14:textId="57D5A0D0" w:rsidR="00876FF5" w:rsidRDefault="00876FF5" w:rsidP="00876FF5">
      <w:pPr>
        <w:pStyle w:val="listeespace"/>
        <w:numPr>
          <w:ilvl w:val="0"/>
          <w:numId w:val="0"/>
        </w:numPr>
      </w:pPr>
    </w:p>
    <w:p w14:paraId="398733CA" w14:textId="1BE34542" w:rsidR="00EF176C" w:rsidRDefault="00EF176C">
      <w:pPr>
        <w:widowControl/>
        <w:autoSpaceDE/>
        <w:autoSpaceDN/>
        <w:adjustRightInd/>
        <w:spacing w:after="160" w:line="259" w:lineRule="auto"/>
      </w:pPr>
    </w:p>
    <w:p w14:paraId="6D2B7F8D" w14:textId="38C92E66" w:rsidR="000E410B" w:rsidRDefault="000E410B">
      <w:pPr>
        <w:widowControl/>
        <w:autoSpaceDE/>
        <w:autoSpaceDN/>
        <w:adjustRightInd/>
        <w:spacing w:after="160" w:line="259" w:lineRule="auto"/>
      </w:pPr>
    </w:p>
    <w:p w14:paraId="1905C15E" w14:textId="0CD8037A" w:rsidR="000E410B" w:rsidRDefault="000E410B">
      <w:pPr>
        <w:widowControl/>
        <w:autoSpaceDE/>
        <w:autoSpaceDN/>
        <w:adjustRightInd/>
        <w:spacing w:after="160" w:line="259" w:lineRule="auto"/>
      </w:pPr>
    </w:p>
    <w:p w14:paraId="560A0801" w14:textId="59E20067" w:rsidR="000E410B" w:rsidRDefault="000E410B">
      <w:pPr>
        <w:widowControl/>
        <w:autoSpaceDE/>
        <w:autoSpaceDN/>
        <w:adjustRightInd/>
        <w:spacing w:after="160" w:line="259" w:lineRule="auto"/>
      </w:pPr>
    </w:p>
    <w:p w14:paraId="4E365ACA" w14:textId="77777777" w:rsidR="000E410B" w:rsidRDefault="000E410B">
      <w:pPr>
        <w:widowControl/>
        <w:autoSpaceDE/>
        <w:autoSpaceDN/>
        <w:adjustRightInd/>
        <w:spacing w:after="160" w:line="259" w:lineRule="auto"/>
        <w:rPr>
          <w:szCs w:val="24"/>
          <w:lang w:eastAsia="en-US"/>
        </w:rPr>
      </w:pPr>
    </w:p>
    <w:p w14:paraId="6B9E891C" w14:textId="77777777" w:rsidR="00072669" w:rsidRDefault="00072669" w:rsidP="00AE5210">
      <w:pPr>
        <w:pStyle w:val="Titre1"/>
      </w:pPr>
      <w:r w:rsidRPr="00AE5210">
        <w:lastRenderedPageBreak/>
        <w:t>Conclusion</w:t>
      </w:r>
    </w:p>
    <w:p w14:paraId="44958710" w14:textId="77777777" w:rsidR="006D0154" w:rsidRDefault="00072669" w:rsidP="006D0154">
      <w:pPr>
        <w:pStyle w:val="Paragraphedeliste"/>
      </w:pPr>
      <w:r>
        <w:t xml:space="preserve">Le CNP est une tumeur particulière au sein des autres cancers de la sphère ORL par son évolutivité, un haut potentiel métastatique, se survenu chez les sujets jeunes et une relation étiologique avec l’EBV. </w:t>
      </w:r>
    </w:p>
    <w:p w14:paraId="2B5ACBFC" w14:textId="77777777" w:rsidR="006D0154" w:rsidRDefault="00072669" w:rsidP="006D0154">
      <w:pPr>
        <w:pStyle w:val="Paragraphedeliste"/>
      </w:pPr>
      <w:r>
        <w:t xml:space="preserve">Dans les zones d’endémie de fréquence intermédiaire et haute, ce cancer reste encore un problème de santé publique. </w:t>
      </w:r>
    </w:p>
    <w:p w14:paraId="21339D2D" w14:textId="3BD1073E" w:rsidR="006508BD" w:rsidRDefault="00072669" w:rsidP="006C36EA">
      <w:pPr>
        <w:pStyle w:val="Paragraphedeliste"/>
      </w:pPr>
      <w:r>
        <w:t>Le traitement reste basé sur la radiothérapie locorégionale avec une amélioration des résultats à long terme après une combinaison radio et chimiothérapie.</w:t>
      </w:r>
      <w:bookmarkEnd w:id="0"/>
    </w:p>
    <w:p w14:paraId="00E32033" w14:textId="3302744A" w:rsidR="00BB7DD8" w:rsidRDefault="009161BA" w:rsidP="0009602F">
      <w:pPr>
        <w:widowControl/>
        <w:autoSpaceDE/>
        <w:autoSpaceDN/>
        <w:adjustRightInd/>
        <w:spacing w:after="160" w:line="259" w:lineRule="auto"/>
        <w:rPr>
          <w:lang w:eastAsia="en-US"/>
        </w:rPr>
      </w:pPr>
      <w:r>
        <w:br w:type="page"/>
      </w:r>
      <w:r>
        <w:rPr>
          <w:noProof/>
        </w:rPr>
        <w:lastRenderedPageBreak/>
        <w:drawing>
          <wp:inline distT="0" distB="0" distL="0" distR="0" wp14:anchorId="281F2CA0" wp14:editId="324F1491">
            <wp:extent cx="5410200" cy="3402330"/>
            <wp:effectExtent l="0" t="0" r="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3402330"/>
                    </a:xfrm>
                    <a:prstGeom prst="rect">
                      <a:avLst/>
                    </a:prstGeom>
                    <a:noFill/>
                    <a:ln>
                      <a:noFill/>
                    </a:ln>
                  </pic:spPr>
                </pic:pic>
              </a:graphicData>
            </a:graphic>
          </wp:inline>
        </w:drawing>
      </w:r>
    </w:p>
    <w:p w14:paraId="5DF7B39E" w14:textId="02B295CF" w:rsidR="00BB7DD8" w:rsidRDefault="00BB7DD8" w:rsidP="00BB7DD8">
      <w:pPr>
        <w:rPr>
          <w:lang w:eastAsia="en-US"/>
        </w:rPr>
      </w:pPr>
    </w:p>
    <w:p w14:paraId="1829DEC6" w14:textId="10D0D984" w:rsidR="00BB7DD8" w:rsidRPr="00BB7DD8" w:rsidRDefault="00BB7DD8" w:rsidP="00BB7DD8">
      <w:pPr>
        <w:pStyle w:val="formule"/>
        <w:rPr>
          <w:lang w:eastAsia="en-US"/>
        </w:rPr>
      </w:pPr>
      <w:r>
        <w:rPr>
          <w:lang w:eastAsia="en-US"/>
        </w:rPr>
        <w:t>Figure 1</w:t>
      </w:r>
    </w:p>
    <w:p w14:paraId="6A317BDC" w14:textId="77777777" w:rsidR="00BB7DD8" w:rsidRDefault="00BB7DD8">
      <w:pPr>
        <w:widowControl/>
        <w:autoSpaceDE/>
        <w:autoSpaceDN/>
        <w:adjustRightInd/>
        <w:spacing w:after="160" w:line="259" w:lineRule="auto"/>
        <w:rPr>
          <w:lang w:eastAsia="en-US"/>
        </w:rPr>
      </w:pPr>
      <w:r>
        <w:rPr>
          <w:noProof/>
        </w:rPr>
        <w:drawing>
          <wp:inline distT="0" distB="0" distL="0" distR="0" wp14:anchorId="3ED6F5F3" wp14:editId="40AA5A3D">
            <wp:extent cx="5806397" cy="3571875"/>
            <wp:effectExtent l="0" t="0" r="4445" b="0"/>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6397" cy="3571875"/>
                    </a:xfrm>
                    <a:prstGeom prst="rect">
                      <a:avLst/>
                    </a:prstGeom>
                  </pic:spPr>
                </pic:pic>
              </a:graphicData>
            </a:graphic>
          </wp:inline>
        </w:drawing>
      </w:r>
    </w:p>
    <w:p w14:paraId="764C8132" w14:textId="77777777" w:rsidR="00BB7DD8" w:rsidRDefault="00BB7DD8">
      <w:pPr>
        <w:widowControl/>
        <w:autoSpaceDE/>
        <w:autoSpaceDN/>
        <w:adjustRightInd/>
        <w:spacing w:after="160" w:line="259" w:lineRule="auto"/>
        <w:rPr>
          <w:lang w:eastAsia="en-US"/>
        </w:rPr>
      </w:pPr>
    </w:p>
    <w:p w14:paraId="7005651B" w14:textId="3F645569" w:rsidR="00BB7DD8" w:rsidRPr="00BB7DD8" w:rsidRDefault="00BB7DD8" w:rsidP="00BB7DD8">
      <w:pPr>
        <w:pStyle w:val="formule"/>
        <w:rPr>
          <w:lang w:eastAsia="en-US"/>
        </w:rPr>
      </w:pPr>
      <w:r>
        <w:rPr>
          <w:lang w:eastAsia="en-US"/>
        </w:rPr>
        <w:t>Figure 2</w:t>
      </w:r>
    </w:p>
    <w:p w14:paraId="59FA2BB5" w14:textId="07698629" w:rsidR="00BB7DD8" w:rsidRDefault="00BB7DD8">
      <w:pPr>
        <w:widowControl/>
        <w:autoSpaceDE/>
        <w:autoSpaceDN/>
        <w:adjustRightInd/>
        <w:spacing w:after="160" w:line="259" w:lineRule="auto"/>
        <w:rPr>
          <w:i/>
          <w:iCs/>
          <w:color w:val="404040" w:themeColor="text1" w:themeTint="BF"/>
          <w:sz w:val="22"/>
          <w:lang w:eastAsia="en-US"/>
        </w:rPr>
      </w:pPr>
      <w:r>
        <w:rPr>
          <w:lang w:eastAsia="en-US"/>
        </w:rPr>
        <w:br w:type="page"/>
      </w:r>
    </w:p>
    <w:p w14:paraId="3933C5BD" w14:textId="0706F06C" w:rsidR="00BB7DD8" w:rsidRDefault="00BB7DD8" w:rsidP="00BB7DD8">
      <w:pPr>
        <w:pStyle w:val="Citation"/>
        <w:rPr>
          <w:lang w:eastAsia="en-US"/>
        </w:rPr>
      </w:pPr>
    </w:p>
    <w:p w14:paraId="325A8D2F" w14:textId="65932F0A" w:rsidR="00BB7DD8" w:rsidRDefault="00E8238B" w:rsidP="00BB7DD8">
      <w:pPr>
        <w:pStyle w:val="Citation"/>
        <w:rPr>
          <w:lang w:eastAsia="en-US"/>
        </w:rPr>
      </w:pPr>
      <w:r>
        <w:rPr>
          <w:noProof/>
          <w:lang w:eastAsia="en-US"/>
        </w:rPr>
        <w:drawing>
          <wp:inline distT="0" distB="0" distL="0" distR="0" wp14:anchorId="189474A8" wp14:editId="72ACADC4">
            <wp:extent cx="5614670" cy="319468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4670" cy="3194685"/>
                    </a:xfrm>
                    <a:prstGeom prst="rect">
                      <a:avLst/>
                    </a:prstGeom>
                    <a:noFill/>
                  </pic:spPr>
                </pic:pic>
              </a:graphicData>
            </a:graphic>
          </wp:inline>
        </w:drawing>
      </w:r>
    </w:p>
    <w:p w14:paraId="54BF2D4C" w14:textId="4539ABF4" w:rsidR="00BB7DD8" w:rsidRDefault="00BB7DD8" w:rsidP="00BB7DD8">
      <w:pPr>
        <w:rPr>
          <w:lang w:eastAsia="en-US"/>
        </w:rPr>
      </w:pPr>
    </w:p>
    <w:p w14:paraId="072D7890" w14:textId="4729B470" w:rsidR="00BB7DD8" w:rsidRPr="00BB7DD8" w:rsidRDefault="00BB7DD8" w:rsidP="00BB7DD8">
      <w:pPr>
        <w:pStyle w:val="formule"/>
        <w:rPr>
          <w:lang w:eastAsia="en-US"/>
        </w:rPr>
      </w:pPr>
      <w:r>
        <w:rPr>
          <w:lang w:eastAsia="en-US"/>
        </w:rPr>
        <w:t>Figure 3</w:t>
      </w:r>
    </w:p>
    <w:p w14:paraId="50868655" w14:textId="53DC4AC9" w:rsidR="00BB7DD8" w:rsidRDefault="00BB7DD8" w:rsidP="00BB7DD8">
      <w:pPr>
        <w:rPr>
          <w:lang w:eastAsia="en-US"/>
        </w:rPr>
      </w:pPr>
    </w:p>
    <w:p w14:paraId="452DEE0A" w14:textId="77777777" w:rsidR="00BB7DD8" w:rsidRPr="00BB7DD8" w:rsidRDefault="00BB7DD8" w:rsidP="00BB7DD8">
      <w:pPr>
        <w:rPr>
          <w:lang w:eastAsia="en-US"/>
        </w:rPr>
      </w:pPr>
    </w:p>
    <w:p w14:paraId="5D0FB295" w14:textId="3EB21AA2" w:rsidR="009161BA" w:rsidRDefault="009161BA" w:rsidP="00BB7DD8">
      <w:pPr>
        <w:pStyle w:val="Citation"/>
        <w:rPr>
          <w:lang w:eastAsia="en-US"/>
        </w:rPr>
      </w:pPr>
    </w:p>
    <w:p w14:paraId="3700281C" w14:textId="1C0F8E18" w:rsidR="00BB7DD8" w:rsidRDefault="00BB7DD8" w:rsidP="00BB7DD8">
      <w:pPr>
        <w:rPr>
          <w:lang w:eastAsia="en-US"/>
        </w:rPr>
      </w:pPr>
    </w:p>
    <w:p w14:paraId="1BCAF2FB" w14:textId="01601A37" w:rsidR="00BB7DD8" w:rsidRDefault="00E8238B" w:rsidP="00BB7DD8">
      <w:pPr>
        <w:rPr>
          <w:lang w:eastAsia="en-US"/>
        </w:rPr>
      </w:pPr>
      <w:r>
        <w:rPr>
          <w:noProof/>
          <w:lang w:eastAsia="en-US"/>
        </w:rPr>
        <w:drawing>
          <wp:inline distT="0" distB="0" distL="0" distR="0" wp14:anchorId="748D7D6C" wp14:editId="44836FAD">
            <wp:extent cx="5675630" cy="320675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5630" cy="3206750"/>
                    </a:xfrm>
                    <a:prstGeom prst="rect">
                      <a:avLst/>
                    </a:prstGeom>
                    <a:noFill/>
                  </pic:spPr>
                </pic:pic>
              </a:graphicData>
            </a:graphic>
          </wp:inline>
        </w:drawing>
      </w:r>
    </w:p>
    <w:p w14:paraId="25FC02EF" w14:textId="0E0C7D1F" w:rsidR="00BB7DD8" w:rsidRPr="00BB7DD8" w:rsidRDefault="00BB7DD8" w:rsidP="00BB7DD8">
      <w:pPr>
        <w:pStyle w:val="formule"/>
        <w:rPr>
          <w:lang w:eastAsia="en-US"/>
        </w:rPr>
      </w:pPr>
      <w:r>
        <w:rPr>
          <w:lang w:eastAsia="en-US"/>
        </w:rPr>
        <w:t>Figure 4</w:t>
      </w:r>
    </w:p>
    <w:p w14:paraId="2C09B7A4" w14:textId="0BD6E400" w:rsidR="00BB7DD8" w:rsidRDefault="00BB7DD8" w:rsidP="00BB7DD8">
      <w:pPr>
        <w:rPr>
          <w:lang w:eastAsia="en-US"/>
        </w:rPr>
      </w:pPr>
    </w:p>
    <w:p w14:paraId="4DF58A2C" w14:textId="1028CA82" w:rsidR="00BB7DD8" w:rsidRDefault="00BB7DD8" w:rsidP="00BB7DD8">
      <w:pPr>
        <w:rPr>
          <w:lang w:eastAsia="en-US"/>
        </w:rPr>
      </w:pPr>
      <w:r>
        <w:rPr>
          <w:noProof/>
        </w:rPr>
        <w:lastRenderedPageBreak/>
        <w:drawing>
          <wp:inline distT="0" distB="0" distL="0" distR="0" wp14:anchorId="488DE1BA" wp14:editId="6C3E38DF">
            <wp:extent cx="5928715" cy="3105530"/>
            <wp:effectExtent l="0" t="0" r="0" b="0"/>
            <wp:docPr id="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8715" cy="3105530"/>
                    </a:xfrm>
                    <a:prstGeom prst="rect">
                      <a:avLst/>
                    </a:prstGeom>
                  </pic:spPr>
                </pic:pic>
              </a:graphicData>
            </a:graphic>
          </wp:inline>
        </w:drawing>
      </w:r>
    </w:p>
    <w:p w14:paraId="0390B109" w14:textId="75D5065F" w:rsidR="00BB7DD8" w:rsidRPr="00BB7DD8" w:rsidRDefault="00BB7DD8" w:rsidP="00BB7DD8">
      <w:pPr>
        <w:pStyle w:val="formule"/>
        <w:rPr>
          <w:lang w:eastAsia="en-US"/>
        </w:rPr>
      </w:pPr>
      <w:r>
        <w:rPr>
          <w:lang w:eastAsia="en-US"/>
        </w:rPr>
        <w:t>Figure 5</w:t>
      </w:r>
    </w:p>
    <w:p w14:paraId="07ED9234" w14:textId="086268EB" w:rsidR="00BB7DD8" w:rsidRDefault="0009602F" w:rsidP="00BB7DD8">
      <w:pPr>
        <w:rPr>
          <w:lang w:eastAsia="en-US"/>
        </w:rPr>
      </w:pPr>
      <w:r w:rsidRPr="0009602F">
        <w:rPr>
          <w:lang w:eastAsia="en-US"/>
        </w:rPr>
        <w:drawing>
          <wp:anchor distT="0" distB="0" distL="114300" distR="114300" simplePos="0" relativeHeight="251666432" behindDoc="0" locked="0" layoutInCell="1" allowOverlap="1" wp14:anchorId="2F2BCB9F" wp14:editId="5F0DECEB">
            <wp:simplePos x="0" y="0"/>
            <wp:positionH relativeFrom="page">
              <wp:align>center</wp:align>
            </wp:positionH>
            <wp:positionV relativeFrom="paragraph">
              <wp:posOffset>218440</wp:posOffset>
            </wp:positionV>
            <wp:extent cx="4696480" cy="3762900"/>
            <wp:effectExtent l="0" t="0" r="8890" b="9525"/>
            <wp:wrapTopAndBottom/>
            <wp:docPr id="1617854877"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4877" name="Image 1" descr="Une image contenant texte, capture d’écran, diagramm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96480" cy="3762900"/>
                    </a:xfrm>
                    <a:prstGeom prst="rect">
                      <a:avLst/>
                    </a:prstGeom>
                  </pic:spPr>
                </pic:pic>
              </a:graphicData>
            </a:graphic>
          </wp:anchor>
        </w:drawing>
      </w:r>
      <w:r w:rsidR="006F5DE4">
        <w:rPr>
          <w:rFonts w:cs="Times New Roman"/>
          <w:noProof/>
          <w:szCs w:val="24"/>
          <w:lang w:val="en-US" w:eastAsia="en-US"/>
        </w:rPr>
        <mc:AlternateContent>
          <mc:Choice Requires="wps">
            <w:drawing>
              <wp:anchor distT="45720" distB="45720" distL="114300" distR="114300" simplePos="0" relativeHeight="251665408" behindDoc="0" locked="0" layoutInCell="1" allowOverlap="1" wp14:anchorId="00F73B41" wp14:editId="3CEDC998">
                <wp:simplePos x="0" y="0"/>
                <wp:positionH relativeFrom="page">
                  <wp:posOffset>1691640</wp:posOffset>
                </wp:positionH>
                <wp:positionV relativeFrom="paragraph">
                  <wp:posOffset>6082453</wp:posOffset>
                </wp:positionV>
                <wp:extent cx="4338955" cy="321945"/>
                <wp:effectExtent l="0" t="0" r="0" b="1905"/>
                <wp:wrapNone/>
                <wp:docPr id="1513482728"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321945"/>
                        </a:xfrm>
                        <a:prstGeom prst="rect">
                          <a:avLst/>
                        </a:prstGeom>
                        <a:noFill/>
                        <a:ln w="9525">
                          <a:noFill/>
                          <a:miter lim="800000"/>
                          <a:headEnd/>
                          <a:tailEnd/>
                        </a:ln>
                      </wps:spPr>
                      <wps:txbx>
                        <w:txbxContent>
                          <w:p w14:paraId="27A8D946" w14:textId="77777777" w:rsidR="006F5DE4" w:rsidRDefault="006F5DE4" w:rsidP="006F5DE4">
                            <w:pPr>
                              <w:jc w:val="center"/>
                              <w:rPr>
                                <w:rFonts w:ascii="Poppins" w:hAnsi="Poppins" w:cs="Poppins"/>
                                <w:color w:val="FF0000"/>
                              </w:rPr>
                            </w:pPr>
                            <w:r>
                              <w:rPr>
                                <w:rFonts w:ascii="Poppins" w:hAnsi="Poppins" w:cs="Poppins"/>
                                <w:color w:val="FF0000"/>
                              </w:rPr>
                              <w:t>* version remise en page par QCMed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73B41" id="Zone de texte 3" o:spid="_x0000_s1027" type="#_x0000_t202" style="position:absolute;margin-left:133.2pt;margin-top:478.95pt;width:341.65pt;height:25.3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" filled="f" stroked="f">
                <v:textbox>
                  <w:txbxContent>
                    <w:p w14:paraId="27A8D946" w14:textId="77777777" w:rsidR="006F5DE4" w:rsidRDefault="006F5DE4" w:rsidP="006F5DE4">
                      <w:pPr>
                        <w:jc w:val="center"/>
                        <w:rPr>
                          <w:rFonts w:ascii="Poppins" w:hAnsi="Poppins" w:cs="Poppins"/>
                          <w:color w:val="FF0000"/>
                        </w:rPr>
                      </w:pPr>
                      <w:r>
                        <w:rPr>
                          <w:rFonts w:ascii="Poppins" w:hAnsi="Poppins" w:cs="Poppins"/>
                          <w:color w:val="FF0000"/>
                        </w:rPr>
                        <w:t>* version remise en page par QCMed *</w:t>
                      </w:r>
                    </w:p>
                  </w:txbxContent>
                </v:textbox>
                <w10:wrap anchorx="page"/>
              </v:shape>
            </w:pict>
          </mc:Fallback>
        </mc:AlternateContent>
      </w:r>
    </w:p>
    <w:p w14:paraId="1101CDD2" w14:textId="77777777" w:rsidR="0009602F" w:rsidRPr="0009602F" w:rsidRDefault="0009602F" w:rsidP="0009602F">
      <w:pPr>
        <w:rPr>
          <w:lang w:eastAsia="en-US"/>
        </w:rPr>
      </w:pPr>
    </w:p>
    <w:p w14:paraId="6E699ACB" w14:textId="787F9124" w:rsidR="0009602F" w:rsidRPr="00BB7DD8" w:rsidRDefault="0009602F" w:rsidP="0009602F">
      <w:pPr>
        <w:pStyle w:val="formule"/>
        <w:rPr>
          <w:lang w:eastAsia="en-US"/>
        </w:rPr>
      </w:pPr>
      <w:r>
        <w:rPr>
          <w:lang w:eastAsia="en-US"/>
        </w:rPr>
        <w:t xml:space="preserve">Figure </w:t>
      </w:r>
      <w:r>
        <w:rPr>
          <w:lang w:eastAsia="en-US"/>
        </w:rPr>
        <w:t>6</w:t>
      </w:r>
    </w:p>
    <w:p w14:paraId="50ED35CE" w14:textId="64644F09" w:rsidR="0009602F" w:rsidRPr="0009602F" w:rsidRDefault="0009602F" w:rsidP="0009602F">
      <w:pPr>
        <w:tabs>
          <w:tab w:val="left" w:pos="3960"/>
        </w:tabs>
        <w:rPr>
          <w:lang w:eastAsia="en-US"/>
        </w:rPr>
      </w:pPr>
    </w:p>
    <w:p w14:paraId="309AC6C6" w14:textId="77777777" w:rsidR="0009602F" w:rsidRPr="0009602F" w:rsidRDefault="0009602F" w:rsidP="0009602F">
      <w:pPr>
        <w:rPr>
          <w:lang w:eastAsia="en-US"/>
        </w:rPr>
      </w:pPr>
    </w:p>
    <w:p w14:paraId="7005AA22" w14:textId="62E62CEB" w:rsidR="0009602F" w:rsidRDefault="0009602F" w:rsidP="0009602F">
      <w:pPr>
        <w:tabs>
          <w:tab w:val="left" w:pos="3900"/>
        </w:tabs>
        <w:rPr>
          <w:lang w:eastAsia="en-US"/>
        </w:rPr>
      </w:pPr>
      <w:r>
        <w:rPr>
          <w:lang w:eastAsia="en-US"/>
        </w:rPr>
        <w:tab/>
      </w:r>
    </w:p>
    <w:p w14:paraId="0A3100AB" w14:textId="77777777" w:rsidR="0009602F" w:rsidRDefault="0009602F" w:rsidP="0009602F">
      <w:pPr>
        <w:tabs>
          <w:tab w:val="left" w:pos="3900"/>
        </w:tabs>
        <w:rPr>
          <w:lang w:eastAsia="en-US"/>
        </w:rPr>
      </w:pPr>
    </w:p>
    <w:p w14:paraId="56312260" w14:textId="77777777" w:rsidR="0009602F" w:rsidRDefault="0009602F" w:rsidP="0009602F">
      <w:pPr>
        <w:tabs>
          <w:tab w:val="left" w:pos="3900"/>
        </w:tabs>
        <w:rPr>
          <w:lang w:eastAsia="en-US"/>
        </w:rPr>
      </w:pPr>
    </w:p>
    <w:p w14:paraId="4E49CBAC" w14:textId="77777777" w:rsidR="0009602F" w:rsidRDefault="0009602F" w:rsidP="0009602F">
      <w:pPr>
        <w:tabs>
          <w:tab w:val="left" w:pos="3900"/>
        </w:tabs>
        <w:rPr>
          <w:lang w:eastAsia="en-US"/>
        </w:rPr>
      </w:pPr>
    </w:p>
    <w:p w14:paraId="1AFE8CD8" w14:textId="77777777" w:rsidR="0009602F" w:rsidRDefault="0009602F" w:rsidP="0009602F">
      <w:pPr>
        <w:tabs>
          <w:tab w:val="left" w:pos="3900"/>
        </w:tabs>
        <w:rPr>
          <w:lang w:eastAsia="en-US"/>
        </w:rPr>
      </w:pPr>
    </w:p>
    <w:p w14:paraId="42089149" w14:textId="77777777" w:rsidR="0009602F" w:rsidRDefault="0009602F" w:rsidP="0009602F">
      <w:pPr>
        <w:tabs>
          <w:tab w:val="left" w:pos="3900"/>
        </w:tabs>
        <w:rPr>
          <w:lang w:eastAsia="en-US"/>
        </w:rPr>
      </w:pPr>
    </w:p>
    <w:p w14:paraId="57B53CBF" w14:textId="77777777" w:rsidR="0009602F" w:rsidRDefault="0009602F" w:rsidP="0009602F">
      <w:pPr>
        <w:tabs>
          <w:tab w:val="left" w:pos="3900"/>
        </w:tabs>
        <w:rPr>
          <w:lang w:eastAsia="en-US"/>
        </w:rPr>
      </w:pPr>
    </w:p>
    <w:p w14:paraId="0F52D824" w14:textId="77777777" w:rsidR="0009602F" w:rsidRDefault="0009602F" w:rsidP="0009602F">
      <w:pPr>
        <w:tabs>
          <w:tab w:val="left" w:pos="3900"/>
        </w:tabs>
        <w:rPr>
          <w:lang w:eastAsia="en-US"/>
        </w:rPr>
      </w:pPr>
    </w:p>
    <w:p w14:paraId="7D773ED6" w14:textId="4E6BD682" w:rsidR="0009602F" w:rsidRDefault="0009602F" w:rsidP="0009602F">
      <w:pPr>
        <w:tabs>
          <w:tab w:val="left" w:pos="3900"/>
        </w:tabs>
        <w:rPr>
          <w:lang w:eastAsia="en-US"/>
        </w:rPr>
      </w:pPr>
      <w:r w:rsidRPr="0009602F">
        <w:rPr>
          <w:lang w:eastAsia="en-US"/>
        </w:rPr>
        <w:drawing>
          <wp:anchor distT="0" distB="0" distL="114300" distR="114300" simplePos="0" relativeHeight="251667456" behindDoc="0" locked="0" layoutInCell="1" allowOverlap="1" wp14:anchorId="7E93D605" wp14:editId="34EBC7BB">
            <wp:simplePos x="0" y="0"/>
            <wp:positionH relativeFrom="column">
              <wp:posOffset>657860</wp:posOffset>
            </wp:positionH>
            <wp:positionV relativeFrom="paragraph">
              <wp:posOffset>235585</wp:posOffset>
            </wp:positionV>
            <wp:extent cx="4458322" cy="2838846"/>
            <wp:effectExtent l="0" t="0" r="0" b="0"/>
            <wp:wrapTopAndBottom/>
            <wp:docPr id="682169063" name="Image 1" descr="Une image contenant texte, Imagerie médicale, capture d’écran, médica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9063" name="Image 1" descr="Une image contenant texte, Imagerie médicale, capture d’écran, médica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58322" cy="2838846"/>
                    </a:xfrm>
                    <a:prstGeom prst="rect">
                      <a:avLst/>
                    </a:prstGeom>
                  </pic:spPr>
                </pic:pic>
              </a:graphicData>
            </a:graphic>
          </wp:anchor>
        </w:drawing>
      </w:r>
    </w:p>
    <w:p w14:paraId="771780B2" w14:textId="6616A807" w:rsidR="0009602F" w:rsidRDefault="0009602F" w:rsidP="0009602F">
      <w:pPr>
        <w:tabs>
          <w:tab w:val="left" w:pos="3900"/>
        </w:tabs>
        <w:rPr>
          <w:lang w:eastAsia="en-US"/>
        </w:rPr>
      </w:pPr>
    </w:p>
    <w:p w14:paraId="3424D43A" w14:textId="77777777" w:rsidR="0009602F" w:rsidRPr="0009602F" w:rsidRDefault="0009602F" w:rsidP="0009602F">
      <w:pPr>
        <w:tabs>
          <w:tab w:val="left" w:pos="3900"/>
        </w:tabs>
        <w:rPr>
          <w:lang w:eastAsia="en-US"/>
        </w:rPr>
      </w:pPr>
    </w:p>
    <w:p w14:paraId="7F868768" w14:textId="44C21F96" w:rsidR="0009602F" w:rsidRPr="00BB7DD8" w:rsidRDefault="0009602F" w:rsidP="0009602F">
      <w:pPr>
        <w:pStyle w:val="formule"/>
        <w:jc w:val="left"/>
        <w:rPr>
          <w:lang w:eastAsia="en-US"/>
        </w:rPr>
      </w:pPr>
      <w:r>
        <w:rPr>
          <w:lang w:eastAsia="en-US"/>
        </w:rPr>
        <w:t xml:space="preserve">                                                                              </w:t>
      </w:r>
      <w:r>
        <w:rPr>
          <w:lang w:eastAsia="en-US"/>
        </w:rPr>
        <w:t xml:space="preserve">Figure </w:t>
      </w:r>
      <w:r>
        <w:rPr>
          <w:lang w:eastAsia="en-US"/>
        </w:rPr>
        <w:t>7</w:t>
      </w:r>
    </w:p>
    <w:p w14:paraId="187B93DF" w14:textId="6705AEEB" w:rsidR="0009602F" w:rsidRPr="0009602F" w:rsidRDefault="0009602F" w:rsidP="0009602F">
      <w:pPr>
        <w:tabs>
          <w:tab w:val="left" w:pos="4395"/>
        </w:tabs>
        <w:rPr>
          <w:lang w:eastAsia="en-US"/>
        </w:rPr>
      </w:pPr>
    </w:p>
    <w:p w14:paraId="48DEEB4A" w14:textId="7F4B7068" w:rsidR="0009602F" w:rsidRDefault="0009602F" w:rsidP="0009602F">
      <w:pPr>
        <w:rPr>
          <w:lang w:eastAsia="en-US"/>
        </w:rPr>
      </w:pPr>
      <w:r w:rsidRPr="0009602F">
        <w:rPr>
          <w:lang w:eastAsia="en-US"/>
        </w:rPr>
        <w:drawing>
          <wp:anchor distT="0" distB="0" distL="114300" distR="114300" simplePos="0" relativeHeight="251668480" behindDoc="0" locked="0" layoutInCell="1" allowOverlap="1" wp14:anchorId="10289579" wp14:editId="5A4F8688">
            <wp:simplePos x="0" y="0"/>
            <wp:positionH relativeFrom="page">
              <wp:align>center</wp:align>
            </wp:positionH>
            <wp:positionV relativeFrom="paragraph">
              <wp:posOffset>205740</wp:posOffset>
            </wp:positionV>
            <wp:extent cx="5525271" cy="3248478"/>
            <wp:effectExtent l="0" t="0" r="0" b="9525"/>
            <wp:wrapTopAndBottom/>
            <wp:docPr id="24355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55421" name=""/>
                    <pic:cNvPicPr/>
                  </pic:nvPicPr>
                  <pic:blipFill>
                    <a:blip r:embed="rId19">
                      <a:extLst>
                        <a:ext uri="{28A0092B-C50C-407E-A947-70E740481C1C}">
                          <a14:useLocalDpi xmlns:a14="http://schemas.microsoft.com/office/drawing/2010/main" val="0"/>
                        </a:ext>
                      </a:extLst>
                    </a:blip>
                    <a:stretch>
                      <a:fillRect/>
                    </a:stretch>
                  </pic:blipFill>
                  <pic:spPr>
                    <a:xfrm>
                      <a:off x="0" y="0"/>
                      <a:ext cx="5525271" cy="3248478"/>
                    </a:xfrm>
                    <a:prstGeom prst="rect">
                      <a:avLst/>
                    </a:prstGeom>
                  </pic:spPr>
                </pic:pic>
              </a:graphicData>
            </a:graphic>
          </wp:anchor>
        </w:drawing>
      </w:r>
    </w:p>
    <w:p w14:paraId="72F046D2" w14:textId="324807B4" w:rsidR="0009602F" w:rsidRPr="00BB7DD8" w:rsidRDefault="0009602F" w:rsidP="0009602F">
      <w:pPr>
        <w:pStyle w:val="formule"/>
        <w:jc w:val="left"/>
        <w:rPr>
          <w:lang w:eastAsia="en-US"/>
        </w:rPr>
      </w:pPr>
      <w:r>
        <w:rPr>
          <w:lang w:eastAsia="en-US"/>
        </w:rPr>
        <w:t xml:space="preserve">                                                                              </w:t>
      </w:r>
      <w:r>
        <w:rPr>
          <w:lang w:eastAsia="en-US"/>
        </w:rPr>
        <w:t xml:space="preserve">Figure </w:t>
      </w:r>
      <w:r>
        <w:rPr>
          <w:lang w:eastAsia="en-US"/>
        </w:rPr>
        <w:t>8</w:t>
      </w:r>
    </w:p>
    <w:p w14:paraId="1D99198F" w14:textId="06D9CAC6" w:rsidR="0009602F" w:rsidRPr="0009602F" w:rsidRDefault="0009602F" w:rsidP="0009602F">
      <w:pPr>
        <w:tabs>
          <w:tab w:val="left" w:pos="4005"/>
        </w:tabs>
        <w:rPr>
          <w:lang w:eastAsia="en-US"/>
        </w:rPr>
      </w:pPr>
    </w:p>
    <w:sectPr w:rsidR="0009602F" w:rsidRPr="0009602F" w:rsidSect="00EC3F5E">
      <w:type w:val="continuous"/>
      <w:pgSz w:w="11906" w:h="16838"/>
      <w:pgMar w:top="680" w:right="709" w:bottom="284" w:left="1304"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2922" w14:textId="77777777" w:rsidR="005A37F4" w:rsidRDefault="005A37F4" w:rsidP="00D45F86">
      <w:r>
        <w:separator/>
      </w:r>
    </w:p>
  </w:endnote>
  <w:endnote w:type="continuationSeparator" w:id="0">
    <w:p w14:paraId="000CB894" w14:textId="77777777" w:rsidR="005A37F4" w:rsidRDefault="005A37F4" w:rsidP="00D45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C5CB" w14:textId="64EC2000" w:rsidR="00014808" w:rsidRDefault="0001480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0C20" w14:textId="520A0199" w:rsidR="00014808" w:rsidRDefault="0001480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601D" w14:textId="614C9556" w:rsidR="00014808" w:rsidRDefault="000148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39AB" w14:textId="77777777" w:rsidR="005A37F4" w:rsidRDefault="005A37F4" w:rsidP="00D45F86">
      <w:r>
        <w:separator/>
      </w:r>
    </w:p>
  </w:footnote>
  <w:footnote w:type="continuationSeparator" w:id="0">
    <w:p w14:paraId="15653047" w14:textId="77777777" w:rsidR="005A37F4" w:rsidRDefault="005A37F4" w:rsidP="00D45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3FAA" w14:textId="4FB619E6" w:rsidR="00042215" w:rsidRPr="00D45F86" w:rsidRDefault="00423FD4" w:rsidP="008656C5">
    <w:pPr>
      <w:pStyle w:val="Corpsdetexte"/>
      <w:rPr>
        <w:sz w:val="20"/>
        <w:szCs w:val="20"/>
      </w:rPr>
    </w:pPr>
    <w:r>
      <w:rPr>
        <w:noProof/>
      </w:rPr>
      <w:drawing>
        <wp:anchor distT="0" distB="0" distL="114300" distR="114300" simplePos="0" relativeHeight="251661312" behindDoc="1" locked="0" layoutInCell="1" allowOverlap="1" wp14:anchorId="180C6FC3" wp14:editId="507D3086">
          <wp:simplePos x="0" y="0"/>
          <wp:positionH relativeFrom="column">
            <wp:posOffset>-701040</wp:posOffset>
          </wp:positionH>
          <wp:positionV relativeFrom="paragraph">
            <wp:posOffset>-322368</wp:posOffset>
          </wp:positionV>
          <wp:extent cx="1260000" cy="331200"/>
          <wp:effectExtent l="0" t="0" r="0" b="0"/>
          <wp:wrapTight wrapText="bothSides">
            <wp:wrapPolygon edited="0">
              <wp:start x="2613" y="1244"/>
              <wp:lineTo x="1306" y="8706"/>
              <wp:lineTo x="1306" y="11194"/>
              <wp:lineTo x="2940" y="19900"/>
              <wp:lineTo x="9472" y="19900"/>
              <wp:lineTo x="18617" y="17413"/>
              <wp:lineTo x="20903" y="14925"/>
              <wp:lineTo x="20250" y="1244"/>
              <wp:lineTo x="2613" y="1244"/>
            </wp:wrapPolygon>
          </wp:wrapTight>
          <wp:docPr id="61950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405" name="Image 61950405"/>
                  <pic:cNvPicPr/>
                </pic:nvPicPr>
                <pic:blipFill>
                  <a:blip r:embed="rId1">
                    <a:extLst>
                      <a:ext uri="{28A0092B-C50C-407E-A947-70E740481C1C}">
                        <a14:useLocalDpi xmlns:a14="http://schemas.microsoft.com/office/drawing/2010/main" val="0"/>
                      </a:ext>
                    </a:extLst>
                  </a:blip>
                  <a:stretch>
                    <a:fillRect/>
                  </a:stretch>
                </pic:blipFill>
                <pic:spPr>
                  <a:xfrm>
                    <a:off x="0" y="0"/>
                    <a:ext cx="1260000" cy="331200"/>
                  </a:xfrm>
                  <a:prstGeom prst="rect">
                    <a:avLst/>
                  </a:prstGeom>
                </pic:spPr>
              </pic:pic>
            </a:graphicData>
          </a:graphic>
          <wp14:sizeRelH relativeFrom="margin">
            <wp14:pctWidth>0</wp14:pctWidth>
          </wp14:sizeRelH>
          <wp14:sizeRelV relativeFrom="margin">
            <wp14:pctHeight>0</wp14:pctHeight>
          </wp14:sizeRelV>
        </wp:anchor>
      </w:drawing>
    </w:r>
    <w:r w:rsidR="00042215">
      <w:rPr>
        <w:noProof/>
      </w:rPr>
      <mc:AlternateContent>
        <mc:Choice Requires="wps">
          <w:drawing>
            <wp:anchor distT="0" distB="0" distL="114300" distR="114300" simplePos="0" relativeHeight="251658239" behindDoc="1" locked="0" layoutInCell="0" allowOverlap="1" wp14:anchorId="2157587C" wp14:editId="331BE928">
              <wp:simplePos x="0" y="0"/>
              <wp:positionH relativeFrom="page">
                <wp:posOffset>3950898</wp:posOffset>
              </wp:positionH>
              <wp:positionV relativeFrom="page">
                <wp:posOffset>69011</wp:posOffset>
              </wp:positionV>
              <wp:extent cx="2958537" cy="354318"/>
              <wp:effectExtent l="0" t="0" r="13335" b="82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537" cy="354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CD0CA" w14:textId="1773522C" w:rsidR="00042215" w:rsidRPr="00D45F86" w:rsidRDefault="00042215" w:rsidP="00AF0740">
                          <w:pPr>
                            <w:pStyle w:val="En-tte"/>
                            <w:jc w:val="right"/>
                          </w:pPr>
                          <w:r>
                            <w:t xml:space="preserve">                      </w:t>
                          </w:r>
                          <w:r w:rsidRPr="00D45F86">
                            <w:t>Cours Commun de Résidanat</w:t>
                          </w:r>
                          <w:r w:rsidRPr="00D45F86">
                            <w:tab/>
                          </w:r>
                          <w:r w:rsidRPr="00AF0740">
                            <w:rPr>
                              <w:b/>
                              <w:bCs/>
                            </w:rPr>
                            <w:fldChar w:fldCharType="begin"/>
                          </w:r>
                          <w:r w:rsidRPr="00AF0740">
                            <w:rPr>
                              <w:b/>
                              <w:bCs/>
                            </w:rPr>
                            <w:instrText xml:space="preserve"> PAGE </w:instrText>
                          </w:r>
                          <w:r w:rsidRPr="00AF0740">
                            <w:rPr>
                              <w:b/>
                              <w:bCs/>
                            </w:rPr>
                            <w:fldChar w:fldCharType="separate"/>
                          </w:r>
                          <w:r w:rsidRPr="00AF0740">
                            <w:rPr>
                              <w:b/>
                              <w:bCs/>
                            </w:rPr>
                            <w:t>1</w:t>
                          </w:r>
                          <w:r w:rsidRPr="00AF0740">
                            <w:rPr>
                              <w:b/>
                              <w:bCs/>
                            </w:rPr>
                            <w:fldChar w:fldCharType="end"/>
                          </w:r>
                        </w:p>
                        <w:p w14:paraId="74283553" w14:textId="626A96BF" w:rsidR="00042215" w:rsidRPr="00010241" w:rsidRDefault="00042215" w:rsidP="00904FA9">
                          <w:pPr>
                            <w:jc w:val="right"/>
                            <w:rPr>
                              <w:sz w:val="22"/>
                              <w:szCs w:val="20"/>
                            </w:rPr>
                          </w:pPr>
                          <w:r>
                            <w:rPr>
                              <w:rFonts w:ascii="Cambria" w:hAnsi="Cambria"/>
                              <w:b/>
                              <w:bCs/>
                              <w:color w:val="7F7F7F" w:themeColor="text1" w:themeTint="80"/>
                              <w:sz w:val="18"/>
                              <w:szCs w:val="18"/>
                            </w:rPr>
                            <w:t xml:space="preserve">                  </w:t>
                          </w:r>
                          <w:r w:rsidRPr="008F70DB">
                            <w:rPr>
                              <w:rFonts w:ascii="Cambria" w:hAnsi="Cambria"/>
                              <w:b/>
                              <w:bCs/>
                              <w:color w:val="7F7F7F" w:themeColor="text1" w:themeTint="80"/>
                              <w:sz w:val="18"/>
                              <w:szCs w:val="18"/>
                            </w:rPr>
                            <w:t xml:space="preserve">Sujet </w:t>
                          </w:r>
                          <w:r w:rsidR="00D0795B">
                            <w:rPr>
                              <w:rFonts w:ascii="Cambria" w:hAnsi="Cambria"/>
                              <w:b/>
                              <w:bCs/>
                              <w:color w:val="7F7F7F" w:themeColor="text1" w:themeTint="80"/>
                              <w:sz w:val="18"/>
                              <w:szCs w:val="18"/>
                            </w:rPr>
                            <w:t>12</w:t>
                          </w:r>
                          <w:r w:rsidRPr="008F70DB">
                            <w:rPr>
                              <w:rFonts w:ascii="Cambria" w:hAnsi="Cambria"/>
                              <w:b/>
                              <w:bCs/>
                              <w:color w:val="7F7F7F" w:themeColor="text1" w:themeTint="80"/>
                              <w:sz w:val="18"/>
                              <w:szCs w:val="18"/>
                            </w:rPr>
                            <w:t xml:space="preserve"> : </w:t>
                          </w:r>
                          <w:r w:rsidR="00D0795B">
                            <w:rPr>
                              <w:rFonts w:ascii="Cambria" w:hAnsi="Cambria"/>
                              <w:b/>
                              <w:bCs/>
                              <w:color w:val="7F7F7F" w:themeColor="text1" w:themeTint="80"/>
                              <w:sz w:val="18"/>
                              <w:szCs w:val="18"/>
                            </w:rPr>
                            <w:t>Cancer du cavum</w:t>
                          </w:r>
                          <w:r w:rsidR="00904FA9">
                            <w:rPr>
                              <w:rFonts w:ascii="Cambria" w:hAnsi="Cambria"/>
                              <w:b/>
                              <w:bCs/>
                              <w:color w:val="7F7F7F" w:themeColor="text1" w:themeTint="80"/>
                              <w:sz w:val="18"/>
                              <w:szCs w:val="1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7587C" id="_x0000_t202" coordsize="21600,21600" o:spt="202" path="m,l,21600r21600,l21600,xe">
              <v:stroke joinstyle="miter"/>
              <v:path gradientshapeok="t" o:connecttype="rect"/>
            </v:shapetype>
            <v:shape id="Text Box 4" o:spid="_x0000_s1028" type="#_x0000_t202" style="position:absolute;left:0;text-align:left;margin-left:311.1pt;margin-top:5.45pt;width:232.95pt;height:27.9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" o:allowincell="f" filled="f" stroked="f">
              <v:textbox inset="0,0,0,0">
                <w:txbxContent>
                  <w:p w14:paraId="56DCD0CA" w14:textId="1773522C" w:rsidR="00042215" w:rsidRPr="00D45F86" w:rsidRDefault="00042215" w:rsidP="00AF0740">
                    <w:pPr>
                      <w:pStyle w:val="En-tte"/>
                      <w:jc w:val="right"/>
                    </w:pPr>
                    <w:r>
                      <w:t xml:space="preserve">                      </w:t>
                    </w:r>
                    <w:r w:rsidRPr="00D45F86">
                      <w:t>Cours Commun de Résidanat</w:t>
                    </w:r>
                    <w:r w:rsidRPr="00D45F86">
                      <w:tab/>
                    </w:r>
                    <w:r w:rsidRPr="00AF0740">
                      <w:rPr>
                        <w:b/>
                        <w:bCs/>
                      </w:rPr>
                      <w:fldChar w:fldCharType="begin"/>
                    </w:r>
                    <w:r w:rsidRPr="00AF0740">
                      <w:rPr>
                        <w:b/>
                        <w:bCs/>
                      </w:rPr>
                      <w:instrText xml:space="preserve"> PAGE </w:instrText>
                    </w:r>
                    <w:r w:rsidRPr="00AF0740">
                      <w:rPr>
                        <w:b/>
                        <w:bCs/>
                      </w:rPr>
                      <w:fldChar w:fldCharType="separate"/>
                    </w:r>
                    <w:r w:rsidRPr="00AF0740">
                      <w:rPr>
                        <w:b/>
                        <w:bCs/>
                      </w:rPr>
                      <w:t>1</w:t>
                    </w:r>
                    <w:r w:rsidRPr="00AF0740">
                      <w:rPr>
                        <w:b/>
                        <w:bCs/>
                      </w:rPr>
                      <w:fldChar w:fldCharType="end"/>
                    </w:r>
                  </w:p>
                  <w:p w14:paraId="74283553" w14:textId="626A96BF" w:rsidR="00042215" w:rsidRPr="00010241" w:rsidRDefault="00042215" w:rsidP="00904FA9">
                    <w:pPr>
                      <w:jc w:val="right"/>
                      <w:rPr>
                        <w:sz w:val="22"/>
                        <w:szCs w:val="20"/>
                      </w:rPr>
                    </w:pPr>
                    <w:r>
                      <w:rPr>
                        <w:rFonts w:ascii="Cambria" w:hAnsi="Cambria"/>
                        <w:b/>
                        <w:bCs/>
                        <w:color w:val="7F7F7F" w:themeColor="text1" w:themeTint="80"/>
                        <w:sz w:val="18"/>
                        <w:szCs w:val="18"/>
                      </w:rPr>
                      <w:t xml:space="preserve">                  </w:t>
                    </w:r>
                    <w:r w:rsidRPr="008F70DB">
                      <w:rPr>
                        <w:rFonts w:ascii="Cambria" w:hAnsi="Cambria"/>
                        <w:b/>
                        <w:bCs/>
                        <w:color w:val="7F7F7F" w:themeColor="text1" w:themeTint="80"/>
                        <w:sz w:val="18"/>
                        <w:szCs w:val="18"/>
                      </w:rPr>
                      <w:t xml:space="preserve">Sujet </w:t>
                    </w:r>
                    <w:r w:rsidR="00D0795B">
                      <w:rPr>
                        <w:rFonts w:ascii="Cambria" w:hAnsi="Cambria"/>
                        <w:b/>
                        <w:bCs/>
                        <w:color w:val="7F7F7F" w:themeColor="text1" w:themeTint="80"/>
                        <w:sz w:val="18"/>
                        <w:szCs w:val="18"/>
                      </w:rPr>
                      <w:t>12</w:t>
                    </w:r>
                    <w:r w:rsidRPr="008F70DB">
                      <w:rPr>
                        <w:rFonts w:ascii="Cambria" w:hAnsi="Cambria"/>
                        <w:b/>
                        <w:bCs/>
                        <w:color w:val="7F7F7F" w:themeColor="text1" w:themeTint="80"/>
                        <w:sz w:val="18"/>
                        <w:szCs w:val="18"/>
                      </w:rPr>
                      <w:t xml:space="preserve"> : </w:t>
                    </w:r>
                    <w:r w:rsidR="00D0795B">
                      <w:rPr>
                        <w:rFonts w:ascii="Cambria" w:hAnsi="Cambria"/>
                        <w:b/>
                        <w:bCs/>
                        <w:color w:val="7F7F7F" w:themeColor="text1" w:themeTint="80"/>
                        <w:sz w:val="18"/>
                        <w:szCs w:val="18"/>
                      </w:rPr>
                      <w:t>Cancer du cavum</w:t>
                    </w:r>
                    <w:r w:rsidR="00904FA9">
                      <w:rPr>
                        <w:rFonts w:ascii="Cambria" w:hAnsi="Cambria"/>
                        <w:b/>
                        <w:bCs/>
                        <w:color w:val="7F7F7F" w:themeColor="text1" w:themeTint="80"/>
                        <w:sz w:val="18"/>
                        <w:szCs w:val="18"/>
                      </w:rPr>
                      <w:t xml:space="preserve">           .</w:t>
                    </w:r>
                  </w:p>
                </w:txbxContent>
              </v:textbox>
              <w10:wrap anchorx="page" anchory="page"/>
            </v:shape>
          </w:pict>
        </mc:Fallback>
      </mc:AlternateContent>
    </w:r>
    <w:r w:rsidR="00042215">
      <w:rPr>
        <w:noProof/>
      </w:rPr>
      <mc:AlternateContent>
        <mc:Choice Requires="wps">
          <w:drawing>
            <wp:anchor distT="0" distB="0" distL="114300" distR="114300" simplePos="0" relativeHeight="251660288" behindDoc="1" locked="0" layoutInCell="0" allowOverlap="1" wp14:anchorId="664D4F0C" wp14:editId="4250A419">
              <wp:simplePos x="0" y="0"/>
              <wp:positionH relativeFrom="page">
                <wp:posOffset>6655064</wp:posOffset>
              </wp:positionH>
              <wp:positionV relativeFrom="page">
                <wp:posOffset>60960</wp:posOffset>
              </wp:positionV>
              <wp:extent cx="12700" cy="329565"/>
              <wp:effectExtent l="0" t="0" r="25400" b="1333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 cy="329565"/>
                      </a:xfrm>
                      <a:custGeom>
                        <a:avLst/>
                        <a:gdLst>
                          <a:gd name="T0" fmla="*/ 0 w 20"/>
                          <a:gd name="T1" fmla="*/ 0 h 519"/>
                          <a:gd name="T2" fmla="*/ 0 w 20"/>
                          <a:gd name="T3" fmla="*/ 518 h 519"/>
                        </a:gdLst>
                        <a:ahLst/>
                        <a:cxnLst>
                          <a:cxn ang="0">
                            <a:pos x="T0" y="T1"/>
                          </a:cxn>
                          <a:cxn ang="0">
                            <a:pos x="T2" y="T3"/>
                          </a:cxn>
                        </a:cxnLst>
                        <a:rect l="0" t="0" r="r" b="b"/>
                        <a:pathLst>
                          <a:path w="20" h="519">
                            <a:moveTo>
                              <a:pt x="0" y="0"/>
                            </a:moveTo>
                            <a:lnTo>
                              <a:pt x="0" y="518"/>
                            </a:lnTo>
                          </a:path>
                        </a:pathLst>
                      </a:custGeom>
                      <a:noFill/>
                      <a:ln w="9144">
                        <a:solidFill>
                          <a:schemeClr val="tx1">
                            <a:lumMod val="50000"/>
                            <a:lumOff val="5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2F5B8EE" id="Freeform: Shap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4pt,4.8pt,524pt,30.7pt" coordsize="2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" o:allowincell="f" filled="f" strokecolor="gray [1629]" strokeweight=".72pt">
              <v:path arrowok="t" o:connecttype="custom" o:connectlocs="0,0;0,328930" o:connectangles="0,0"/>
              <w10:wrap anchorx="page" anchory="page"/>
            </v:polyline>
          </w:pict>
        </mc:Fallback>
      </mc:AlternateContent>
    </w:r>
    <w:r w:rsidR="00042215">
      <w:rPr>
        <w:noProof/>
      </w:rPr>
      <mc:AlternateContent>
        <mc:Choice Requires="wps">
          <w:drawing>
            <wp:anchor distT="0" distB="0" distL="114300" distR="114300" simplePos="0" relativeHeight="251659264" behindDoc="0" locked="0" layoutInCell="1" allowOverlap="1" wp14:anchorId="780C262F" wp14:editId="7B3909EB">
              <wp:simplePos x="0" y="0"/>
              <wp:positionH relativeFrom="column">
                <wp:posOffset>-274855</wp:posOffset>
              </wp:positionH>
              <wp:positionV relativeFrom="paragraph">
                <wp:posOffset>-24344</wp:posOffset>
              </wp:positionV>
              <wp:extent cx="6588125" cy="635"/>
              <wp:effectExtent l="0" t="0" r="2222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125" cy="635"/>
                      </a:xfrm>
                      <a:prstGeom prst="straightConnector1">
                        <a:avLst/>
                      </a:prstGeom>
                      <a:ln>
                        <a:solidFill>
                          <a:schemeClr val="tx1">
                            <a:lumMod val="50000"/>
                            <a:lumOff val="50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204BCFA" id="_x0000_t32" coordsize="21600,21600" o:spt="32" o:oned="t" path="m,l21600,21600e" filled="f">
              <v:path arrowok="t" fillok="f" o:connecttype="none"/>
              <o:lock v:ext="edit" shapetype="t"/>
            </v:shapetype>
            <v:shape id="Straight Arrow Connector 3" o:spid="_x0000_s1026" type="#_x0000_t32" style="position:absolute;margin-left:-21.65pt;margin-top:-1.9pt;width:518.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" strokecolor="gray [1629]" strokeweight=".5pt">
              <v:stroke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85F0E4B6"/>
    <w:lvl w:ilvl="0">
      <w:start w:val="1"/>
      <w:numFmt w:val="decimal"/>
      <w:lvlText w:val="%1."/>
      <w:lvlJc w:val="left"/>
      <w:pPr>
        <w:ind w:left="506" w:hanging="280"/>
      </w:pPr>
      <w:rPr>
        <w:rFonts w:ascii="Times New Roman" w:hAnsi="Times New Roman" w:cs="Times New Roman"/>
        <w:b w:val="0"/>
        <w:bCs w:val="0"/>
        <w:w w:val="99"/>
        <w:sz w:val="28"/>
        <w:szCs w:val="28"/>
      </w:rPr>
    </w:lvl>
    <w:lvl w:ilvl="1">
      <w:numFmt w:val="bullet"/>
      <w:lvlText w:val="•"/>
      <w:lvlJc w:val="left"/>
      <w:pPr>
        <w:ind w:left="1402" w:hanging="280"/>
      </w:pPr>
    </w:lvl>
    <w:lvl w:ilvl="2">
      <w:numFmt w:val="bullet"/>
      <w:pStyle w:val="listeniv3"/>
      <w:lvlText w:val="•"/>
      <w:lvlJc w:val="left"/>
      <w:pPr>
        <w:ind w:left="2305" w:hanging="280"/>
      </w:pPr>
    </w:lvl>
    <w:lvl w:ilvl="3">
      <w:numFmt w:val="bullet"/>
      <w:lvlText w:val="•"/>
      <w:lvlJc w:val="left"/>
      <w:pPr>
        <w:ind w:left="3207" w:hanging="280"/>
      </w:pPr>
    </w:lvl>
    <w:lvl w:ilvl="4">
      <w:numFmt w:val="bullet"/>
      <w:lvlText w:val="•"/>
      <w:lvlJc w:val="left"/>
      <w:pPr>
        <w:ind w:left="4110" w:hanging="280"/>
      </w:pPr>
    </w:lvl>
    <w:lvl w:ilvl="5">
      <w:numFmt w:val="bullet"/>
      <w:lvlText w:val="•"/>
      <w:lvlJc w:val="left"/>
      <w:pPr>
        <w:ind w:left="5012" w:hanging="280"/>
      </w:pPr>
    </w:lvl>
    <w:lvl w:ilvl="6">
      <w:numFmt w:val="bullet"/>
      <w:lvlText w:val="•"/>
      <w:lvlJc w:val="left"/>
      <w:pPr>
        <w:ind w:left="5915" w:hanging="280"/>
      </w:pPr>
    </w:lvl>
    <w:lvl w:ilvl="7">
      <w:numFmt w:val="bullet"/>
      <w:lvlText w:val="•"/>
      <w:lvlJc w:val="left"/>
      <w:pPr>
        <w:ind w:left="6817" w:hanging="280"/>
      </w:pPr>
    </w:lvl>
    <w:lvl w:ilvl="8">
      <w:numFmt w:val="bullet"/>
      <w:lvlText w:val="•"/>
      <w:lvlJc w:val="left"/>
      <w:pPr>
        <w:ind w:left="7720" w:hanging="280"/>
      </w:pPr>
    </w:lvl>
  </w:abstractNum>
  <w:abstractNum w:abstractNumId="1" w15:restartNumberingAfterBreak="0">
    <w:nsid w:val="00000404"/>
    <w:multiLevelType w:val="multilevel"/>
    <w:tmpl w:val="82603A12"/>
    <w:lvl w:ilvl="0">
      <w:numFmt w:val="bullet"/>
      <w:pStyle w:val="objectifs"/>
      <w:lvlText w:val="-"/>
      <w:lvlJc w:val="left"/>
      <w:pPr>
        <w:ind w:left="226" w:hanging="140"/>
      </w:pPr>
      <w:rPr>
        <w:rFonts w:ascii="Times New Roman" w:hAnsi="Times New Roman"/>
        <w:b w:val="0"/>
        <w:spacing w:val="-1"/>
        <w:w w:val="100"/>
        <w:sz w:val="24"/>
      </w:rPr>
    </w:lvl>
    <w:lvl w:ilvl="1">
      <w:numFmt w:val="bullet"/>
      <w:lvlText w:val="-"/>
      <w:lvlJc w:val="left"/>
      <w:pPr>
        <w:ind w:left="226" w:hanging="160"/>
      </w:pPr>
      <w:rPr>
        <w:rFonts w:ascii="Times New Roman" w:hAnsi="Times New Roman"/>
        <w:b w:val="0"/>
        <w:w w:val="100"/>
        <w:sz w:val="24"/>
      </w:rPr>
    </w:lvl>
    <w:lvl w:ilvl="2">
      <w:numFmt w:val="bullet"/>
      <w:lvlText w:val="•"/>
      <w:lvlJc w:val="left"/>
      <w:pPr>
        <w:ind w:left="2081" w:hanging="160"/>
      </w:pPr>
    </w:lvl>
    <w:lvl w:ilvl="3">
      <w:numFmt w:val="bullet"/>
      <w:lvlText w:val="•"/>
      <w:lvlJc w:val="left"/>
      <w:pPr>
        <w:ind w:left="3011" w:hanging="160"/>
      </w:pPr>
    </w:lvl>
    <w:lvl w:ilvl="4">
      <w:numFmt w:val="bullet"/>
      <w:lvlText w:val="•"/>
      <w:lvlJc w:val="left"/>
      <w:pPr>
        <w:ind w:left="3942" w:hanging="160"/>
      </w:pPr>
    </w:lvl>
    <w:lvl w:ilvl="5">
      <w:numFmt w:val="bullet"/>
      <w:lvlText w:val="•"/>
      <w:lvlJc w:val="left"/>
      <w:pPr>
        <w:ind w:left="4872" w:hanging="160"/>
      </w:pPr>
    </w:lvl>
    <w:lvl w:ilvl="6">
      <w:numFmt w:val="bullet"/>
      <w:lvlText w:val="•"/>
      <w:lvlJc w:val="left"/>
      <w:pPr>
        <w:ind w:left="5803" w:hanging="160"/>
      </w:pPr>
    </w:lvl>
    <w:lvl w:ilvl="7">
      <w:numFmt w:val="bullet"/>
      <w:lvlText w:val="•"/>
      <w:lvlJc w:val="left"/>
      <w:pPr>
        <w:ind w:left="6733" w:hanging="160"/>
      </w:pPr>
    </w:lvl>
    <w:lvl w:ilvl="8">
      <w:numFmt w:val="bullet"/>
      <w:lvlText w:val="•"/>
      <w:lvlJc w:val="left"/>
      <w:pPr>
        <w:ind w:left="7664" w:hanging="160"/>
      </w:pPr>
    </w:lvl>
  </w:abstractNum>
  <w:abstractNum w:abstractNumId="2" w15:restartNumberingAfterBreak="0">
    <w:nsid w:val="05DA3E10"/>
    <w:multiLevelType w:val="hybridMultilevel"/>
    <w:tmpl w:val="78363E2C"/>
    <w:lvl w:ilvl="0" w:tplc="AF108316">
      <w:start w:val="1"/>
      <w:numFmt w:val="decimal"/>
      <w:pStyle w:val="Style2"/>
      <w:lvlText w:val="%1-"/>
      <w:lvlJc w:val="left"/>
      <w:pPr>
        <w:ind w:left="416" w:hanging="201"/>
      </w:pPr>
      <w:rPr>
        <w:rFonts w:hint="default"/>
        <w:b/>
        <w:bCs/>
        <w:w w:val="100"/>
        <w:lang w:val="fr-FR" w:eastAsia="fr-FR" w:bidi="fr-FR"/>
      </w:rPr>
    </w:lvl>
    <w:lvl w:ilvl="1" w:tplc="7EE0C368">
      <w:numFmt w:val="bullet"/>
      <w:lvlText w:val="•"/>
      <w:lvlJc w:val="left"/>
      <w:pPr>
        <w:ind w:left="1434" w:hanging="201"/>
      </w:pPr>
      <w:rPr>
        <w:rFonts w:hint="default"/>
        <w:lang w:val="fr-FR" w:eastAsia="fr-FR" w:bidi="fr-FR"/>
      </w:rPr>
    </w:lvl>
    <w:lvl w:ilvl="2" w:tplc="E0E8DAA2">
      <w:numFmt w:val="bullet"/>
      <w:lvlText w:val="•"/>
      <w:lvlJc w:val="left"/>
      <w:pPr>
        <w:ind w:left="2448" w:hanging="201"/>
      </w:pPr>
      <w:rPr>
        <w:rFonts w:hint="default"/>
        <w:lang w:val="fr-FR" w:eastAsia="fr-FR" w:bidi="fr-FR"/>
      </w:rPr>
    </w:lvl>
    <w:lvl w:ilvl="3" w:tplc="2F868692">
      <w:numFmt w:val="bullet"/>
      <w:lvlText w:val="•"/>
      <w:lvlJc w:val="left"/>
      <w:pPr>
        <w:ind w:left="3462" w:hanging="201"/>
      </w:pPr>
      <w:rPr>
        <w:rFonts w:hint="default"/>
        <w:lang w:val="fr-FR" w:eastAsia="fr-FR" w:bidi="fr-FR"/>
      </w:rPr>
    </w:lvl>
    <w:lvl w:ilvl="4" w:tplc="24508490">
      <w:numFmt w:val="bullet"/>
      <w:lvlText w:val="•"/>
      <w:lvlJc w:val="left"/>
      <w:pPr>
        <w:ind w:left="4476" w:hanging="201"/>
      </w:pPr>
      <w:rPr>
        <w:rFonts w:hint="default"/>
        <w:lang w:val="fr-FR" w:eastAsia="fr-FR" w:bidi="fr-FR"/>
      </w:rPr>
    </w:lvl>
    <w:lvl w:ilvl="5" w:tplc="E73219E0">
      <w:numFmt w:val="bullet"/>
      <w:lvlText w:val="•"/>
      <w:lvlJc w:val="left"/>
      <w:pPr>
        <w:ind w:left="5490" w:hanging="201"/>
      </w:pPr>
      <w:rPr>
        <w:rFonts w:hint="default"/>
        <w:lang w:val="fr-FR" w:eastAsia="fr-FR" w:bidi="fr-FR"/>
      </w:rPr>
    </w:lvl>
    <w:lvl w:ilvl="6" w:tplc="F244CBBC">
      <w:numFmt w:val="bullet"/>
      <w:lvlText w:val="•"/>
      <w:lvlJc w:val="left"/>
      <w:pPr>
        <w:ind w:left="6504" w:hanging="201"/>
      </w:pPr>
      <w:rPr>
        <w:rFonts w:hint="default"/>
        <w:lang w:val="fr-FR" w:eastAsia="fr-FR" w:bidi="fr-FR"/>
      </w:rPr>
    </w:lvl>
    <w:lvl w:ilvl="7" w:tplc="5E80DD38">
      <w:numFmt w:val="bullet"/>
      <w:lvlText w:val="•"/>
      <w:lvlJc w:val="left"/>
      <w:pPr>
        <w:ind w:left="7518" w:hanging="201"/>
      </w:pPr>
      <w:rPr>
        <w:rFonts w:hint="default"/>
        <w:lang w:val="fr-FR" w:eastAsia="fr-FR" w:bidi="fr-FR"/>
      </w:rPr>
    </w:lvl>
    <w:lvl w:ilvl="8" w:tplc="42F2CF3A">
      <w:numFmt w:val="bullet"/>
      <w:lvlText w:val="•"/>
      <w:lvlJc w:val="left"/>
      <w:pPr>
        <w:ind w:left="8532" w:hanging="201"/>
      </w:pPr>
      <w:rPr>
        <w:rFonts w:hint="default"/>
        <w:lang w:val="fr-FR" w:eastAsia="fr-FR" w:bidi="fr-FR"/>
      </w:rPr>
    </w:lvl>
  </w:abstractNum>
  <w:abstractNum w:abstractNumId="3" w15:restartNumberingAfterBreak="0">
    <w:nsid w:val="15C317A3"/>
    <w:multiLevelType w:val="hybridMultilevel"/>
    <w:tmpl w:val="23389CEE"/>
    <w:lvl w:ilvl="0" w:tplc="C9127018">
      <w:numFmt w:val="bullet"/>
      <w:pStyle w:val="Paragraphedeliste"/>
      <w:lvlText w:val="•"/>
      <w:lvlJc w:val="left"/>
      <w:pPr>
        <w:ind w:left="1115" w:hanging="360"/>
      </w:pPr>
      <w:rPr>
        <w:rFonts w:hint="default"/>
        <w:spacing w:val="-1"/>
        <w:w w:val="100"/>
        <w:sz w:val="24"/>
        <w:szCs w:val="24"/>
        <w:lang w:val="fr-FR" w:eastAsia="fr-FR" w:bidi="fr-FR"/>
      </w:rPr>
    </w:lvl>
    <w:lvl w:ilvl="1" w:tplc="27ECF3DE">
      <w:numFmt w:val="bullet"/>
      <w:lvlText w:val="•"/>
      <w:lvlJc w:val="left"/>
      <w:pPr>
        <w:ind w:left="2064" w:hanging="360"/>
      </w:pPr>
      <w:rPr>
        <w:rFonts w:hint="default"/>
        <w:lang w:val="fr-FR" w:eastAsia="fr-FR" w:bidi="fr-FR"/>
      </w:rPr>
    </w:lvl>
    <w:lvl w:ilvl="2" w:tplc="55F89560">
      <w:numFmt w:val="bullet"/>
      <w:lvlText w:val="•"/>
      <w:lvlJc w:val="left"/>
      <w:pPr>
        <w:ind w:left="3008" w:hanging="360"/>
      </w:pPr>
      <w:rPr>
        <w:rFonts w:hint="default"/>
        <w:lang w:val="fr-FR" w:eastAsia="fr-FR" w:bidi="fr-FR"/>
      </w:rPr>
    </w:lvl>
    <w:lvl w:ilvl="3" w:tplc="11263F46">
      <w:numFmt w:val="bullet"/>
      <w:lvlText w:val="•"/>
      <w:lvlJc w:val="left"/>
      <w:pPr>
        <w:ind w:left="3952" w:hanging="360"/>
      </w:pPr>
      <w:rPr>
        <w:rFonts w:hint="default"/>
        <w:lang w:val="fr-FR" w:eastAsia="fr-FR" w:bidi="fr-FR"/>
      </w:rPr>
    </w:lvl>
    <w:lvl w:ilvl="4" w:tplc="ED22F4C2">
      <w:numFmt w:val="bullet"/>
      <w:lvlText w:val="•"/>
      <w:lvlJc w:val="left"/>
      <w:pPr>
        <w:ind w:left="4896" w:hanging="360"/>
      </w:pPr>
      <w:rPr>
        <w:rFonts w:hint="default"/>
        <w:lang w:val="fr-FR" w:eastAsia="fr-FR" w:bidi="fr-FR"/>
      </w:rPr>
    </w:lvl>
    <w:lvl w:ilvl="5" w:tplc="6B3C4792">
      <w:numFmt w:val="bullet"/>
      <w:lvlText w:val="•"/>
      <w:lvlJc w:val="left"/>
      <w:pPr>
        <w:ind w:left="5840" w:hanging="360"/>
      </w:pPr>
      <w:rPr>
        <w:rFonts w:hint="default"/>
        <w:lang w:val="fr-FR" w:eastAsia="fr-FR" w:bidi="fr-FR"/>
      </w:rPr>
    </w:lvl>
    <w:lvl w:ilvl="6" w:tplc="35EC26BE">
      <w:numFmt w:val="bullet"/>
      <w:lvlText w:val="•"/>
      <w:lvlJc w:val="left"/>
      <w:pPr>
        <w:ind w:left="6784" w:hanging="360"/>
      </w:pPr>
      <w:rPr>
        <w:rFonts w:hint="default"/>
        <w:lang w:val="fr-FR" w:eastAsia="fr-FR" w:bidi="fr-FR"/>
      </w:rPr>
    </w:lvl>
    <w:lvl w:ilvl="7" w:tplc="BC2462B6">
      <w:numFmt w:val="bullet"/>
      <w:lvlText w:val="•"/>
      <w:lvlJc w:val="left"/>
      <w:pPr>
        <w:ind w:left="7728" w:hanging="360"/>
      </w:pPr>
      <w:rPr>
        <w:rFonts w:hint="default"/>
        <w:lang w:val="fr-FR" w:eastAsia="fr-FR" w:bidi="fr-FR"/>
      </w:rPr>
    </w:lvl>
    <w:lvl w:ilvl="8" w:tplc="7C4C0F78">
      <w:numFmt w:val="bullet"/>
      <w:lvlText w:val="•"/>
      <w:lvlJc w:val="left"/>
      <w:pPr>
        <w:ind w:left="8672" w:hanging="360"/>
      </w:pPr>
      <w:rPr>
        <w:rFonts w:hint="default"/>
        <w:lang w:val="fr-FR" w:eastAsia="fr-FR" w:bidi="fr-FR"/>
      </w:rPr>
    </w:lvl>
  </w:abstractNum>
  <w:abstractNum w:abstractNumId="4" w15:restartNumberingAfterBreak="0">
    <w:nsid w:val="177878B9"/>
    <w:multiLevelType w:val="multilevel"/>
    <w:tmpl w:val="3DB6D3C0"/>
    <w:styleLink w:val="Style1bm"/>
    <w:lvl w:ilvl="0">
      <w:start w:val="1"/>
      <w:numFmt w:val="decimal"/>
      <w:lvlText w:val="%1."/>
      <w:lvlJc w:val="left"/>
      <w:pPr>
        <w:ind w:left="432" w:hanging="432"/>
      </w:pPr>
      <w:rPr>
        <w:rFonts w:ascii="Times New Roman" w:hAnsi="Times New Roman" w:cs="Times New Roman" w:hint="default"/>
        <w:szCs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i w:val="0"/>
        <w:color w:val="auto"/>
        <w:spacing w:val="-24"/>
        <w:w w:val="100"/>
        <w:sz w:val="24"/>
        <w:szCs w:val="24"/>
        <w:lang w:val="fr-FR" w:eastAsia="fr-FR" w:bidi="fr-FR"/>
      </w:rPr>
    </w:lvl>
    <w:lvl w:ilvl="3">
      <w:start w:val="1"/>
      <w:numFmt w:val="decimal"/>
      <w:lvlText w:val="%1.%2.%3.%4."/>
      <w:lvlJc w:val="left"/>
      <w:pPr>
        <w:ind w:left="864" w:hanging="864"/>
      </w:pPr>
      <w:rPr>
        <w:rFonts w:hint="default"/>
        <w:lang w:val="fr-FR" w:eastAsia="fr-FR" w:bidi="fr-FR"/>
      </w:rPr>
    </w:lvl>
    <w:lvl w:ilvl="4">
      <w:start w:val="1"/>
      <w:numFmt w:val="decimal"/>
      <w:lvlText w:val="%1.%2.%3.%4.%5."/>
      <w:lvlJc w:val="left"/>
      <w:pPr>
        <w:ind w:left="1008" w:hanging="1008"/>
      </w:pPr>
      <w:rPr>
        <w:rFonts w:hint="default"/>
        <w:lang w:val="fr-FR" w:eastAsia="fr-FR" w:bidi="fr-FR"/>
      </w:rPr>
    </w:lvl>
    <w:lvl w:ilvl="5">
      <w:start w:val="1"/>
      <w:numFmt w:val="decimal"/>
      <w:lvlText w:val="%1.%2.%3.%4.%5.%6."/>
      <w:lvlJc w:val="left"/>
      <w:pPr>
        <w:ind w:left="1152" w:hanging="1152"/>
      </w:pPr>
      <w:rPr>
        <w:rFonts w:hint="default"/>
        <w:lang w:val="fr-FR" w:eastAsia="fr-FR" w:bidi="fr-FR"/>
      </w:rPr>
    </w:lvl>
    <w:lvl w:ilvl="6">
      <w:start w:val="1"/>
      <w:numFmt w:val="decimal"/>
      <w:lvlText w:val="%1.%2.%3.%4.%5.%6.%7"/>
      <w:lvlJc w:val="left"/>
      <w:pPr>
        <w:ind w:left="1296" w:hanging="1296"/>
      </w:pPr>
      <w:rPr>
        <w:rFonts w:hint="default"/>
        <w:lang w:val="fr-FR" w:eastAsia="fr-FR" w:bidi="fr-FR"/>
      </w:rPr>
    </w:lvl>
    <w:lvl w:ilvl="7">
      <w:start w:val="1"/>
      <w:numFmt w:val="decimal"/>
      <w:lvlText w:val="%1.%2.%3.%4.%5.%6.%7.%8"/>
      <w:lvlJc w:val="left"/>
      <w:pPr>
        <w:ind w:left="1440" w:hanging="1440"/>
      </w:pPr>
      <w:rPr>
        <w:rFonts w:hint="default"/>
        <w:lang w:val="fr-FR" w:eastAsia="fr-FR" w:bidi="fr-FR"/>
      </w:rPr>
    </w:lvl>
    <w:lvl w:ilvl="8">
      <w:start w:val="1"/>
      <w:numFmt w:val="decimal"/>
      <w:lvlText w:val="%1.%2.%3.%4.%5.%6.%7.%8.%9"/>
      <w:lvlJc w:val="left"/>
      <w:pPr>
        <w:ind w:left="1584" w:hanging="1584"/>
      </w:pPr>
      <w:rPr>
        <w:rFonts w:hint="default"/>
        <w:lang w:val="fr-FR" w:eastAsia="fr-FR" w:bidi="fr-FR"/>
      </w:rPr>
    </w:lvl>
  </w:abstractNum>
  <w:abstractNum w:abstractNumId="5" w15:restartNumberingAfterBreak="0">
    <w:nsid w:val="216D0176"/>
    <w:multiLevelType w:val="multilevel"/>
    <w:tmpl w:val="AAB67428"/>
    <w:lvl w:ilvl="0">
      <w:start w:val="1"/>
      <w:numFmt w:val="upperRoman"/>
      <w:lvlText w:val="%1-"/>
      <w:lvlJc w:val="left"/>
      <w:pPr>
        <w:ind w:left="459" w:hanging="234"/>
      </w:pPr>
      <w:rPr>
        <w:rFonts w:hint="default"/>
        <w:b/>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135" w:hanging="201"/>
      </w:pPr>
      <w:rPr>
        <w:rFonts w:ascii="Times New Roman" w:hAnsi="Times New Roman" w:cs="Times New Roman" w:hint="default"/>
        <w:b/>
        <w:bCs/>
        <w:spacing w:val="-1"/>
        <w:w w:val="100"/>
        <w:sz w:val="22"/>
        <w:szCs w:val="22"/>
      </w:rPr>
    </w:lvl>
    <w:lvl w:ilvl="2">
      <w:start w:val="1"/>
      <w:numFmt w:val="bullet"/>
      <w:pStyle w:val="listeniv2"/>
      <w:lvlText w:val=""/>
      <w:lvlJc w:val="left"/>
      <w:pPr>
        <w:ind w:left="2071" w:hanging="201"/>
      </w:pPr>
      <w:rPr>
        <w:rFonts w:ascii="Symbol" w:hAnsi="Symbol" w:hint="default"/>
        <w:sz w:val="18"/>
        <w:szCs w:val="18"/>
      </w:rPr>
    </w:lvl>
    <w:lvl w:ilvl="3">
      <w:start w:val="1"/>
      <w:numFmt w:val="lowerLetter"/>
      <w:lvlText w:val="%4"/>
      <w:lvlJc w:val="left"/>
      <w:pPr>
        <w:ind w:left="3003" w:hanging="201"/>
      </w:pPr>
      <w:rPr>
        <w:rFonts w:hint="default"/>
      </w:rPr>
    </w:lvl>
    <w:lvl w:ilvl="4">
      <w:numFmt w:val="bullet"/>
      <w:lvlText w:val="•"/>
      <w:lvlJc w:val="left"/>
      <w:pPr>
        <w:ind w:left="3935" w:hanging="201"/>
      </w:pPr>
      <w:rPr>
        <w:rFonts w:hint="default"/>
      </w:rPr>
    </w:lvl>
    <w:lvl w:ilvl="5">
      <w:numFmt w:val="bullet"/>
      <w:lvlText w:val="•"/>
      <w:lvlJc w:val="left"/>
      <w:pPr>
        <w:ind w:left="4866" w:hanging="201"/>
      </w:pPr>
      <w:rPr>
        <w:rFonts w:hint="default"/>
      </w:rPr>
    </w:lvl>
    <w:lvl w:ilvl="6">
      <w:numFmt w:val="bullet"/>
      <w:lvlText w:val="•"/>
      <w:lvlJc w:val="left"/>
      <w:pPr>
        <w:ind w:left="5798" w:hanging="201"/>
      </w:pPr>
      <w:rPr>
        <w:rFonts w:hint="default"/>
      </w:rPr>
    </w:lvl>
    <w:lvl w:ilvl="7">
      <w:numFmt w:val="bullet"/>
      <w:lvlText w:val="•"/>
      <w:lvlJc w:val="left"/>
      <w:pPr>
        <w:ind w:left="6730" w:hanging="201"/>
      </w:pPr>
      <w:rPr>
        <w:rFonts w:hint="default"/>
      </w:rPr>
    </w:lvl>
    <w:lvl w:ilvl="8">
      <w:numFmt w:val="bullet"/>
      <w:lvlText w:val="•"/>
      <w:lvlJc w:val="left"/>
      <w:pPr>
        <w:ind w:left="7662" w:hanging="201"/>
      </w:pPr>
      <w:rPr>
        <w:rFonts w:hint="default"/>
      </w:rPr>
    </w:lvl>
  </w:abstractNum>
  <w:abstractNum w:abstractNumId="6" w15:restartNumberingAfterBreak="0">
    <w:nsid w:val="21932DC6"/>
    <w:multiLevelType w:val="multilevel"/>
    <w:tmpl w:val="B0C298F6"/>
    <w:lvl w:ilvl="0">
      <w:start w:val="1"/>
      <w:numFmt w:val="upperRoman"/>
      <w:lvlText w:val="%1-"/>
      <w:lvlJc w:val="left"/>
      <w:pPr>
        <w:ind w:left="459" w:hanging="234"/>
      </w:pPr>
      <w:rPr>
        <w:rFonts w:hint="default"/>
        <w:b/>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135" w:hanging="201"/>
      </w:pPr>
      <w:rPr>
        <w:rFonts w:ascii="Times New Roman" w:hAnsi="Times New Roman" w:cs="Times New Roman" w:hint="default"/>
        <w:b/>
        <w:bCs/>
        <w:spacing w:val="-1"/>
        <w:w w:val="100"/>
        <w:sz w:val="22"/>
        <w:szCs w:val="22"/>
      </w:rPr>
    </w:lvl>
    <w:lvl w:ilvl="2">
      <w:start w:val="1"/>
      <w:numFmt w:val="bullet"/>
      <w:pStyle w:val="listeniv2car"/>
      <w:lvlText w:val=""/>
      <w:lvlJc w:val="left"/>
      <w:pPr>
        <w:ind w:left="2071" w:hanging="201"/>
      </w:pPr>
      <w:rPr>
        <w:rFonts w:ascii="Wingdings" w:hAnsi="Wingdings" w:hint="default"/>
      </w:rPr>
    </w:lvl>
    <w:lvl w:ilvl="3">
      <w:start w:val="1"/>
      <w:numFmt w:val="lowerLetter"/>
      <w:lvlText w:val="%4"/>
      <w:lvlJc w:val="left"/>
      <w:pPr>
        <w:ind w:left="3003" w:hanging="201"/>
      </w:pPr>
      <w:rPr>
        <w:rFonts w:hint="default"/>
      </w:rPr>
    </w:lvl>
    <w:lvl w:ilvl="4">
      <w:numFmt w:val="bullet"/>
      <w:lvlText w:val="•"/>
      <w:lvlJc w:val="left"/>
      <w:pPr>
        <w:ind w:left="3935" w:hanging="201"/>
      </w:pPr>
      <w:rPr>
        <w:rFonts w:hint="default"/>
      </w:rPr>
    </w:lvl>
    <w:lvl w:ilvl="5">
      <w:numFmt w:val="bullet"/>
      <w:lvlText w:val="•"/>
      <w:lvlJc w:val="left"/>
      <w:pPr>
        <w:ind w:left="4866" w:hanging="201"/>
      </w:pPr>
      <w:rPr>
        <w:rFonts w:hint="default"/>
      </w:rPr>
    </w:lvl>
    <w:lvl w:ilvl="6">
      <w:numFmt w:val="bullet"/>
      <w:lvlText w:val="•"/>
      <w:lvlJc w:val="left"/>
      <w:pPr>
        <w:ind w:left="5798" w:hanging="201"/>
      </w:pPr>
      <w:rPr>
        <w:rFonts w:hint="default"/>
      </w:rPr>
    </w:lvl>
    <w:lvl w:ilvl="7">
      <w:numFmt w:val="bullet"/>
      <w:lvlText w:val="•"/>
      <w:lvlJc w:val="left"/>
      <w:pPr>
        <w:ind w:left="6730" w:hanging="201"/>
      </w:pPr>
      <w:rPr>
        <w:rFonts w:hint="default"/>
      </w:rPr>
    </w:lvl>
    <w:lvl w:ilvl="8">
      <w:numFmt w:val="bullet"/>
      <w:lvlText w:val="•"/>
      <w:lvlJc w:val="left"/>
      <w:pPr>
        <w:ind w:left="7662" w:hanging="201"/>
      </w:pPr>
      <w:rPr>
        <w:rFonts w:hint="default"/>
      </w:rPr>
    </w:lvl>
  </w:abstractNum>
  <w:abstractNum w:abstractNumId="7" w15:restartNumberingAfterBreak="0">
    <w:nsid w:val="2ADF6E24"/>
    <w:multiLevelType w:val="hybridMultilevel"/>
    <w:tmpl w:val="90242506"/>
    <w:lvl w:ilvl="0" w:tplc="DE84F200">
      <w:start w:val="1"/>
      <w:numFmt w:val="bullet"/>
      <w:pStyle w:val="heading4new"/>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pStyle w:val="heading4new"/>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 w15:restartNumberingAfterBreak="0">
    <w:nsid w:val="2B2A288F"/>
    <w:multiLevelType w:val="hybridMultilevel"/>
    <w:tmpl w:val="67D83270"/>
    <w:lvl w:ilvl="0" w:tplc="7F0ECF86">
      <w:start w:val="1"/>
      <w:numFmt w:val="bullet"/>
      <w:pStyle w:val="niv2"/>
      <w:lvlText w:val=""/>
      <w:lvlJc w:val="left"/>
      <w:pPr>
        <w:ind w:left="1228"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786BD0"/>
    <w:multiLevelType w:val="hybridMultilevel"/>
    <w:tmpl w:val="A3FC94BC"/>
    <w:lvl w:ilvl="0" w:tplc="66FE926A">
      <w:numFmt w:val="bullet"/>
      <w:pStyle w:val="listci"/>
      <w:lvlText w:val=""/>
      <w:lvlJc w:val="left"/>
      <w:pPr>
        <w:ind w:left="946" w:hanging="360"/>
      </w:pPr>
      <w:rPr>
        <w:rFonts w:ascii="Wingdings" w:eastAsia="Times New Roman" w:hAnsi="Wingdings" w:cs="Times New Roman" w:hint="default"/>
        <w:spacing w:val="-20"/>
        <w:w w:val="100"/>
        <w:sz w:val="24"/>
        <w:szCs w:val="24"/>
        <w:lang w:val="fr-FR" w:eastAsia="fr-FR" w:bidi="fr-FR"/>
      </w:rPr>
    </w:lvl>
    <w:lvl w:ilvl="1" w:tplc="66E03B30">
      <w:numFmt w:val="bullet"/>
      <w:lvlText w:val="•"/>
      <w:lvlJc w:val="left"/>
      <w:pPr>
        <w:ind w:left="1790" w:hanging="360"/>
      </w:pPr>
      <w:rPr>
        <w:rFonts w:hint="default"/>
        <w:lang w:val="fr-FR" w:eastAsia="fr-FR" w:bidi="fr-FR"/>
      </w:rPr>
    </w:lvl>
    <w:lvl w:ilvl="2" w:tplc="160ACCC4">
      <w:numFmt w:val="bullet"/>
      <w:lvlText w:val="•"/>
      <w:lvlJc w:val="left"/>
      <w:pPr>
        <w:ind w:left="2641" w:hanging="360"/>
      </w:pPr>
      <w:rPr>
        <w:rFonts w:hint="default"/>
        <w:lang w:val="fr-FR" w:eastAsia="fr-FR" w:bidi="fr-FR"/>
      </w:rPr>
    </w:lvl>
    <w:lvl w:ilvl="3" w:tplc="0A48AD8E">
      <w:numFmt w:val="bullet"/>
      <w:lvlText w:val="•"/>
      <w:lvlJc w:val="left"/>
      <w:pPr>
        <w:ind w:left="3491" w:hanging="360"/>
      </w:pPr>
      <w:rPr>
        <w:rFonts w:hint="default"/>
        <w:lang w:val="fr-FR" w:eastAsia="fr-FR" w:bidi="fr-FR"/>
      </w:rPr>
    </w:lvl>
    <w:lvl w:ilvl="4" w:tplc="90127E46">
      <w:numFmt w:val="bullet"/>
      <w:lvlText w:val="•"/>
      <w:lvlJc w:val="left"/>
      <w:pPr>
        <w:ind w:left="4342" w:hanging="360"/>
      </w:pPr>
      <w:rPr>
        <w:rFonts w:hint="default"/>
        <w:lang w:val="fr-FR" w:eastAsia="fr-FR" w:bidi="fr-FR"/>
      </w:rPr>
    </w:lvl>
    <w:lvl w:ilvl="5" w:tplc="CEBED3BA">
      <w:numFmt w:val="bullet"/>
      <w:lvlText w:val="•"/>
      <w:lvlJc w:val="left"/>
      <w:pPr>
        <w:ind w:left="5192" w:hanging="360"/>
      </w:pPr>
      <w:rPr>
        <w:rFonts w:hint="default"/>
        <w:lang w:val="fr-FR" w:eastAsia="fr-FR" w:bidi="fr-FR"/>
      </w:rPr>
    </w:lvl>
    <w:lvl w:ilvl="6" w:tplc="3C4ECF6A">
      <w:numFmt w:val="bullet"/>
      <w:lvlText w:val="•"/>
      <w:lvlJc w:val="left"/>
      <w:pPr>
        <w:ind w:left="6043" w:hanging="360"/>
      </w:pPr>
      <w:rPr>
        <w:rFonts w:hint="default"/>
        <w:lang w:val="fr-FR" w:eastAsia="fr-FR" w:bidi="fr-FR"/>
      </w:rPr>
    </w:lvl>
    <w:lvl w:ilvl="7" w:tplc="B5201AC2">
      <w:numFmt w:val="bullet"/>
      <w:lvlText w:val="•"/>
      <w:lvlJc w:val="left"/>
      <w:pPr>
        <w:ind w:left="6893" w:hanging="360"/>
      </w:pPr>
      <w:rPr>
        <w:rFonts w:hint="default"/>
        <w:lang w:val="fr-FR" w:eastAsia="fr-FR" w:bidi="fr-FR"/>
      </w:rPr>
    </w:lvl>
    <w:lvl w:ilvl="8" w:tplc="0E2E5E38">
      <w:numFmt w:val="bullet"/>
      <w:lvlText w:val="•"/>
      <w:lvlJc w:val="left"/>
      <w:pPr>
        <w:ind w:left="7744" w:hanging="360"/>
      </w:pPr>
      <w:rPr>
        <w:rFonts w:hint="default"/>
        <w:lang w:val="fr-FR" w:eastAsia="fr-FR" w:bidi="fr-FR"/>
      </w:rPr>
    </w:lvl>
  </w:abstractNum>
  <w:abstractNum w:abstractNumId="10" w15:restartNumberingAfterBreak="0">
    <w:nsid w:val="3016087E"/>
    <w:multiLevelType w:val="hybridMultilevel"/>
    <w:tmpl w:val="F56E027A"/>
    <w:lvl w:ilvl="0" w:tplc="55C00038">
      <w:numFmt w:val="bullet"/>
      <w:pStyle w:val="liste"/>
      <w:lvlText w:val=""/>
      <w:lvlJc w:val="left"/>
      <w:pPr>
        <w:ind w:left="566" w:hanging="291"/>
      </w:pPr>
      <w:rPr>
        <w:rFonts w:ascii="Wingdings" w:eastAsia="Wingdings" w:hAnsi="Wingdings" w:cs="Wingdings" w:hint="default"/>
        <w:w w:val="100"/>
        <w:sz w:val="24"/>
        <w:szCs w:val="24"/>
        <w:lang w:val="fr-FR" w:eastAsia="fr-FR" w:bidi="fr-FR"/>
      </w:rPr>
    </w:lvl>
    <w:lvl w:ilvl="1" w:tplc="1D3E4E8C">
      <w:numFmt w:val="bullet"/>
      <w:lvlText w:val="•"/>
      <w:lvlJc w:val="left"/>
      <w:pPr>
        <w:ind w:left="1536" w:hanging="291"/>
      </w:pPr>
      <w:rPr>
        <w:rFonts w:hint="default"/>
        <w:lang w:val="fr-FR" w:eastAsia="fr-FR" w:bidi="fr-FR"/>
      </w:rPr>
    </w:lvl>
    <w:lvl w:ilvl="2" w:tplc="BE9616F0">
      <w:numFmt w:val="bullet"/>
      <w:lvlText w:val="•"/>
      <w:lvlJc w:val="left"/>
      <w:pPr>
        <w:ind w:left="2513" w:hanging="291"/>
      </w:pPr>
      <w:rPr>
        <w:rFonts w:hint="default"/>
        <w:lang w:val="fr-FR" w:eastAsia="fr-FR" w:bidi="fr-FR"/>
      </w:rPr>
    </w:lvl>
    <w:lvl w:ilvl="3" w:tplc="33A49006">
      <w:numFmt w:val="bullet"/>
      <w:lvlText w:val="•"/>
      <w:lvlJc w:val="left"/>
      <w:pPr>
        <w:ind w:left="3489" w:hanging="291"/>
      </w:pPr>
      <w:rPr>
        <w:rFonts w:hint="default"/>
        <w:lang w:val="fr-FR" w:eastAsia="fr-FR" w:bidi="fr-FR"/>
      </w:rPr>
    </w:lvl>
    <w:lvl w:ilvl="4" w:tplc="9A38F2CE">
      <w:numFmt w:val="bullet"/>
      <w:lvlText w:val="•"/>
      <w:lvlJc w:val="left"/>
      <w:pPr>
        <w:ind w:left="4466" w:hanging="291"/>
      </w:pPr>
      <w:rPr>
        <w:rFonts w:hint="default"/>
        <w:lang w:val="fr-FR" w:eastAsia="fr-FR" w:bidi="fr-FR"/>
      </w:rPr>
    </w:lvl>
    <w:lvl w:ilvl="5" w:tplc="81F28136">
      <w:numFmt w:val="bullet"/>
      <w:lvlText w:val="•"/>
      <w:lvlJc w:val="left"/>
      <w:pPr>
        <w:ind w:left="5442" w:hanging="291"/>
      </w:pPr>
      <w:rPr>
        <w:rFonts w:hint="default"/>
        <w:lang w:val="fr-FR" w:eastAsia="fr-FR" w:bidi="fr-FR"/>
      </w:rPr>
    </w:lvl>
    <w:lvl w:ilvl="6" w:tplc="99D4042A">
      <w:numFmt w:val="bullet"/>
      <w:lvlText w:val="•"/>
      <w:lvlJc w:val="left"/>
      <w:pPr>
        <w:ind w:left="6419" w:hanging="291"/>
      </w:pPr>
      <w:rPr>
        <w:rFonts w:hint="default"/>
        <w:lang w:val="fr-FR" w:eastAsia="fr-FR" w:bidi="fr-FR"/>
      </w:rPr>
    </w:lvl>
    <w:lvl w:ilvl="7" w:tplc="F708B50E">
      <w:numFmt w:val="bullet"/>
      <w:lvlText w:val="•"/>
      <w:lvlJc w:val="left"/>
      <w:pPr>
        <w:ind w:left="7395" w:hanging="291"/>
      </w:pPr>
      <w:rPr>
        <w:rFonts w:hint="default"/>
        <w:lang w:val="fr-FR" w:eastAsia="fr-FR" w:bidi="fr-FR"/>
      </w:rPr>
    </w:lvl>
    <w:lvl w:ilvl="8" w:tplc="52501ACA">
      <w:numFmt w:val="bullet"/>
      <w:lvlText w:val="•"/>
      <w:lvlJc w:val="left"/>
      <w:pPr>
        <w:ind w:left="8372" w:hanging="291"/>
      </w:pPr>
      <w:rPr>
        <w:rFonts w:hint="default"/>
        <w:lang w:val="fr-FR" w:eastAsia="fr-FR" w:bidi="fr-FR"/>
      </w:rPr>
    </w:lvl>
  </w:abstractNum>
  <w:abstractNum w:abstractNumId="11" w15:restartNumberingAfterBreak="0">
    <w:nsid w:val="3173332D"/>
    <w:multiLevelType w:val="hybridMultilevel"/>
    <w:tmpl w:val="B3AC7C38"/>
    <w:lvl w:ilvl="0" w:tplc="E13EAC96">
      <w:start w:val="1"/>
      <w:numFmt w:val="bullet"/>
      <w:pStyle w:val="listexx"/>
      <w:lvlText w:val=""/>
      <w:lvlJc w:val="left"/>
      <w:pPr>
        <w:ind w:left="728" w:hanging="360"/>
      </w:pPr>
      <w:rPr>
        <w:rFonts w:ascii="Wingdings" w:hAnsi="Wingdings" w:hint="default"/>
        <w:w w:val="100"/>
        <w:sz w:val="24"/>
        <w:szCs w:val="24"/>
        <w:lang w:val="fr-FR" w:eastAsia="fr-FR" w:bidi="fr-FR"/>
      </w:rPr>
    </w:lvl>
    <w:lvl w:ilvl="1" w:tplc="1B387D10">
      <w:numFmt w:val="bullet"/>
      <w:lvlText w:val="•"/>
      <w:lvlJc w:val="left"/>
      <w:pPr>
        <w:ind w:left="1668" w:hanging="360"/>
      </w:pPr>
      <w:rPr>
        <w:lang w:val="fr-FR" w:eastAsia="fr-FR" w:bidi="fr-FR"/>
      </w:rPr>
    </w:lvl>
    <w:lvl w:ilvl="2" w:tplc="2CAAC832">
      <w:numFmt w:val="bullet"/>
      <w:lvlText w:val="•"/>
      <w:lvlJc w:val="left"/>
      <w:pPr>
        <w:ind w:left="2617" w:hanging="360"/>
      </w:pPr>
      <w:rPr>
        <w:lang w:val="fr-FR" w:eastAsia="fr-FR" w:bidi="fr-FR"/>
      </w:rPr>
    </w:lvl>
    <w:lvl w:ilvl="3" w:tplc="9E5497A0">
      <w:numFmt w:val="bullet"/>
      <w:lvlText w:val="•"/>
      <w:lvlJc w:val="left"/>
      <w:pPr>
        <w:ind w:left="3565" w:hanging="360"/>
      </w:pPr>
      <w:rPr>
        <w:lang w:val="fr-FR" w:eastAsia="fr-FR" w:bidi="fr-FR"/>
      </w:rPr>
    </w:lvl>
    <w:lvl w:ilvl="4" w:tplc="4A74C0FA">
      <w:numFmt w:val="bullet"/>
      <w:lvlText w:val="•"/>
      <w:lvlJc w:val="left"/>
      <w:pPr>
        <w:ind w:left="4514" w:hanging="360"/>
      </w:pPr>
      <w:rPr>
        <w:lang w:val="fr-FR" w:eastAsia="fr-FR" w:bidi="fr-FR"/>
      </w:rPr>
    </w:lvl>
    <w:lvl w:ilvl="5" w:tplc="A9A4785A">
      <w:numFmt w:val="bullet"/>
      <w:lvlText w:val="•"/>
      <w:lvlJc w:val="left"/>
      <w:pPr>
        <w:ind w:left="5462" w:hanging="360"/>
      </w:pPr>
      <w:rPr>
        <w:lang w:val="fr-FR" w:eastAsia="fr-FR" w:bidi="fr-FR"/>
      </w:rPr>
    </w:lvl>
    <w:lvl w:ilvl="6" w:tplc="72AE0FBE">
      <w:numFmt w:val="bullet"/>
      <w:lvlText w:val="•"/>
      <w:lvlJc w:val="left"/>
      <w:pPr>
        <w:ind w:left="6411" w:hanging="360"/>
      </w:pPr>
      <w:rPr>
        <w:lang w:val="fr-FR" w:eastAsia="fr-FR" w:bidi="fr-FR"/>
      </w:rPr>
    </w:lvl>
    <w:lvl w:ilvl="7" w:tplc="28129EEE">
      <w:numFmt w:val="bullet"/>
      <w:lvlText w:val="•"/>
      <w:lvlJc w:val="left"/>
      <w:pPr>
        <w:ind w:left="7359" w:hanging="360"/>
      </w:pPr>
      <w:rPr>
        <w:lang w:val="fr-FR" w:eastAsia="fr-FR" w:bidi="fr-FR"/>
      </w:rPr>
    </w:lvl>
    <w:lvl w:ilvl="8" w:tplc="C0761600">
      <w:numFmt w:val="bullet"/>
      <w:lvlText w:val="•"/>
      <w:lvlJc w:val="left"/>
      <w:pPr>
        <w:ind w:left="8308" w:hanging="360"/>
      </w:pPr>
      <w:rPr>
        <w:lang w:val="fr-FR" w:eastAsia="fr-FR" w:bidi="fr-FR"/>
      </w:rPr>
    </w:lvl>
  </w:abstractNum>
  <w:abstractNum w:abstractNumId="12" w15:restartNumberingAfterBreak="0">
    <w:nsid w:val="3A9B1E32"/>
    <w:multiLevelType w:val="hybridMultilevel"/>
    <w:tmpl w:val="4B16EAD0"/>
    <w:lvl w:ilvl="0" w:tplc="DA4AE8CA">
      <w:start w:val="1"/>
      <w:numFmt w:val="bullet"/>
      <w:pStyle w:val="Titr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02302D"/>
    <w:multiLevelType w:val="hybridMultilevel"/>
    <w:tmpl w:val="61DA6BB6"/>
    <w:lvl w:ilvl="0" w:tplc="B4464EEA">
      <w:start w:val="1"/>
      <w:numFmt w:val="bullet"/>
      <w:pStyle w:val="listcret"/>
      <w:lvlText w:val=""/>
      <w:lvlJc w:val="left"/>
      <w:pPr>
        <w:ind w:left="215" w:hanging="176"/>
      </w:pPr>
      <w:rPr>
        <w:rFonts w:ascii="Wingdings" w:hAnsi="Wingdings" w:hint="default"/>
        <w:spacing w:val="-29"/>
        <w:w w:val="100"/>
        <w:sz w:val="24"/>
        <w:szCs w:val="24"/>
        <w:lang w:val="fr-FR" w:eastAsia="fr-FR" w:bidi="fr-FR"/>
      </w:rPr>
    </w:lvl>
    <w:lvl w:ilvl="1" w:tplc="101E9D34">
      <w:numFmt w:val="bullet"/>
      <w:lvlText w:val="-"/>
      <w:lvlJc w:val="left"/>
      <w:pPr>
        <w:ind w:left="935" w:hanging="360"/>
      </w:pPr>
      <w:rPr>
        <w:rFonts w:ascii="Tahoma" w:eastAsia="Tahoma" w:hAnsi="Tahoma" w:cs="Tahoma" w:hint="default"/>
        <w:spacing w:val="-1"/>
        <w:w w:val="100"/>
        <w:sz w:val="24"/>
        <w:szCs w:val="24"/>
        <w:lang w:val="fr-FR" w:eastAsia="fr-FR" w:bidi="fr-FR"/>
      </w:rPr>
    </w:lvl>
    <w:lvl w:ilvl="2" w:tplc="4C246674">
      <w:numFmt w:val="bullet"/>
      <w:lvlText w:val="•"/>
      <w:lvlJc w:val="left"/>
      <w:pPr>
        <w:ind w:left="2008" w:hanging="360"/>
      </w:pPr>
      <w:rPr>
        <w:rFonts w:hint="default"/>
        <w:lang w:val="fr-FR" w:eastAsia="fr-FR" w:bidi="fr-FR"/>
      </w:rPr>
    </w:lvl>
    <w:lvl w:ilvl="3" w:tplc="09BE2DCE">
      <w:numFmt w:val="bullet"/>
      <w:lvlText w:val="•"/>
      <w:lvlJc w:val="left"/>
      <w:pPr>
        <w:ind w:left="3077" w:hanging="360"/>
      </w:pPr>
      <w:rPr>
        <w:rFonts w:hint="default"/>
        <w:lang w:val="fr-FR" w:eastAsia="fr-FR" w:bidi="fr-FR"/>
      </w:rPr>
    </w:lvl>
    <w:lvl w:ilvl="4" w:tplc="9748176E">
      <w:numFmt w:val="bullet"/>
      <w:lvlText w:val="•"/>
      <w:lvlJc w:val="left"/>
      <w:pPr>
        <w:ind w:left="4146" w:hanging="360"/>
      </w:pPr>
      <w:rPr>
        <w:rFonts w:hint="default"/>
        <w:lang w:val="fr-FR" w:eastAsia="fr-FR" w:bidi="fr-FR"/>
      </w:rPr>
    </w:lvl>
    <w:lvl w:ilvl="5" w:tplc="36A4AF86">
      <w:numFmt w:val="bullet"/>
      <w:lvlText w:val="•"/>
      <w:lvlJc w:val="left"/>
      <w:pPr>
        <w:ind w:left="5215" w:hanging="360"/>
      </w:pPr>
      <w:rPr>
        <w:rFonts w:hint="default"/>
        <w:lang w:val="fr-FR" w:eastAsia="fr-FR" w:bidi="fr-FR"/>
      </w:rPr>
    </w:lvl>
    <w:lvl w:ilvl="6" w:tplc="3DA4323C">
      <w:numFmt w:val="bullet"/>
      <w:lvlText w:val="•"/>
      <w:lvlJc w:val="left"/>
      <w:pPr>
        <w:ind w:left="6284" w:hanging="360"/>
      </w:pPr>
      <w:rPr>
        <w:rFonts w:hint="default"/>
        <w:lang w:val="fr-FR" w:eastAsia="fr-FR" w:bidi="fr-FR"/>
      </w:rPr>
    </w:lvl>
    <w:lvl w:ilvl="7" w:tplc="A85A21AC">
      <w:numFmt w:val="bullet"/>
      <w:lvlText w:val="•"/>
      <w:lvlJc w:val="left"/>
      <w:pPr>
        <w:ind w:left="7353" w:hanging="360"/>
      </w:pPr>
      <w:rPr>
        <w:rFonts w:hint="default"/>
        <w:lang w:val="fr-FR" w:eastAsia="fr-FR" w:bidi="fr-FR"/>
      </w:rPr>
    </w:lvl>
    <w:lvl w:ilvl="8" w:tplc="4B26735E">
      <w:numFmt w:val="bullet"/>
      <w:lvlText w:val="•"/>
      <w:lvlJc w:val="left"/>
      <w:pPr>
        <w:ind w:left="8422" w:hanging="360"/>
      </w:pPr>
      <w:rPr>
        <w:rFonts w:hint="default"/>
        <w:lang w:val="fr-FR" w:eastAsia="fr-FR" w:bidi="fr-FR"/>
      </w:rPr>
    </w:lvl>
  </w:abstractNum>
  <w:abstractNum w:abstractNumId="14" w15:restartNumberingAfterBreak="0">
    <w:nsid w:val="3F4217D7"/>
    <w:multiLevelType w:val="hybridMultilevel"/>
    <w:tmpl w:val="4CF243A4"/>
    <w:lvl w:ilvl="0" w:tplc="7BA87BE4">
      <w:start w:val="1"/>
      <w:numFmt w:val="bullet"/>
      <w:pStyle w:val="listx"/>
      <w:lvlText w:val="F"/>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15:restartNumberingAfterBreak="0">
    <w:nsid w:val="41BC0C7B"/>
    <w:multiLevelType w:val="hybridMultilevel"/>
    <w:tmpl w:val="1C50AA42"/>
    <w:lvl w:ilvl="0" w:tplc="5198969A">
      <w:numFmt w:val="bullet"/>
      <w:pStyle w:val="listeespace"/>
      <w:lvlText w:val="•"/>
      <w:lvlJc w:val="left"/>
      <w:pPr>
        <w:ind w:left="709" w:hanging="360"/>
      </w:pPr>
      <w:rPr>
        <w:color w:val="auto"/>
        <w:lang w:val="fr-FR" w:eastAsia="fr-FR" w:bidi="fr-FR"/>
      </w:rPr>
    </w:lvl>
    <w:lvl w:ilvl="1" w:tplc="040C0003">
      <w:start w:val="1"/>
      <w:numFmt w:val="bullet"/>
      <w:lvlText w:val="o"/>
      <w:lvlJc w:val="left"/>
      <w:pPr>
        <w:ind w:left="1429" w:hanging="360"/>
      </w:pPr>
      <w:rPr>
        <w:rFonts w:ascii="Courier New" w:hAnsi="Courier New" w:cs="Courier New" w:hint="default"/>
      </w:rPr>
    </w:lvl>
    <w:lvl w:ilvl="2" w:tplc="040C0005" w:tentative="1">
      <w:start w:val="1"/>
      <w:numFmt w:val="bullet"/>
      <w:lvlText w:val=""/>
      <w:lvlJc w:val="left"/>
      <w:pPr>
        <w:ind w:left="2149" w:hanging="360"/>
      </w:pPr>
      <w:rPr>
        <w:rFonts w:ascii="Wingdings" w:hAnsi="Wingdings" w:hint="default"/>
      </w:rPr>
    </w:lvl>
    <w:lvl w:ilvl="3" w:tplc="040C0001" w:tentative="1">
      <w:start w:val="1"/>
      <w:numFmt w:val="bullet"/>
      <w:lvlText w:val=""/>
      <w:lvlJc w:val="left"/>
      <w:pPr>
        <w:ind w:left="2869" w:hanging="360"/>
      </w:pPr>
      <w:rPr>
        <w:rFonts w:ascii="Symbol" w:hAnsi="Symbol" w:hint="default"/>
      </w:rPr>
    </w:lvl>
    <w:lvl w:ilvl="4" w:tplc="040C0003" w:tentative="1">
      <w:start w:val="1"/>
      <w:numFmt w:val="bullet"/>
      <w:lvlText w:val="o"/>
      <w:lvlJc w:val="left"/>
      <w:pPr>
        <w:ind w:left="3589" w:hanging="360"/>
      </w:pPr>
      <w:rPr>
        <w:rFonts w:ascii="Courier New" w:hAnsi="Courier New" w:cs="Courier New" w:hint="default"/>
      </w:rPr>
    </w:lvl>
    <w:lvl w:ilvl="5" w:tplc="040C0005" w:tentative="1">
      <w:start w:val="1"/>
      <w:numFmt w:val="bullet"/>
      <w:lvlText w:val=""/>
      <w:lvlJc w:val="left"/>
      <w:pPr>
        <w:ind w:left="4309" w:hanging="360"/>
      </w:pPr>
      <w:rPr>
        <w:rFonts w:ascii="Wingdings" w:hAnsi="Wingdings" w:hint="default"/>
      </w:rPr>
    </w:lvl>
    <w:lvl w:ilvl="6" w:tplc="040C0001" w:tentative="1">
      <w:start w:val="1"/>
      <w:numFmt w:val="bullet"/>
      <w:lvlText w:val=""/>
      <w:lvlJc w:val="left"/>
      <w:pPr>
        <w:ind w:left="5029" w:hanging="360"/>
      </w:pPr>
      <w:rPr>
        <w:rFonts w:ascii="Symbol" w:hAnsi="Symbol" w:hint="default"/>
      </w:rPr>
    </w:lvl>
    <w:lvl w:ilvl="7" w:tplc="040C0003" w:tentative="1">
      <w:start w:val="1"/>
      <w:numFmt w:val="bullet"/>
      <w:lvlText w:val="o"/>
      <w:lvlJc w:val="left"/>
      <w:pPr>
        <w:ind w:left="5749" w:hanging="360"/>
      </w:pPr>
      <w:rPr>
        <w:rFonts w:ascii="Courier New" w:hAnsi="Courier New" w:cs="Courier New" w:hint="default"/>
      </w:rPr>
    </w:lvl>
    <w:lvl w:ilvl="8" w:tplc="040C0005" w:tentative="1">
      <w:start w:val="1"/>
      <w:numFmt w:val="bullet"/>
      <w:lvlText w:val=""/>
      <w:lvlJc w:val="left"/>
      <w:pPr>
        <w:ind w:left="6469" w:hanging="360"/>
      </w:pPr>
      <w:rPr>
        <w:rFonts w:ascii="Wingdings" w:hAnsi="Wingdings" w:hint="default"/>
      </w:rPr>
    </w:lvl>
  </w:abstractNum>
  <w:abstractNum w:abstractNumId="16" w15:restartNumberingAfterBreak="0">
    <w:nsid w:val="45D707FE"/>
    <w:multiLevelType w:val="hybridMultilevel"/>
    <w:tmpl w:val="1BEA2AD6"/>
    <w:lvl w:ilvl="0" w:tplc="A460A322">
      <w:numFmt w:val="bullet"/>
      <w:pStyle w:val="heading3neww"/>
      <w:lvlText w:val="v"/>
      <w:lvlJc w:val="left"/>
      <w:pPr>
        <w:ind w:left="1713" w:hanging="360"/>
      </w:pPr>
      <w:rPr>
        <w:rFonts w:ascii="Wingdings" w:eastAsia="Times New Roman" w:hAnsi="Wingdings" w:cs="Times New Roman" w:hint="default"/>
        <w:b/>
        <w:bCs/>
        <w:spacing w:val="-28"/>
        <w:w w:val="100"/>
        <w:sz w:val="24"/>
        <w:szCs w:val="24"/>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7" w15:restartNumberingAfterBreak="0">
    <w:nsid w:val="47EC65DA"/>
    <w:multiLevelType w:val="hybridMultilevel"/>
    <w:tmpl w:val="8116D1DA"/>
    <w:lvl w:ilvl="0" w:tplc="3EA0EB36">
      <w:start w:val="1"/>
      <w:numFmt w:val="bullet"/>
      <w:pStyle w:val="noterbien"/>
      <w:lvlText w:val="F"/>
      <w:lvlJc w:val="left"/>
      <w:pPr>
        <w:ind w:left="106" w:hanging="173"/>
      </w:pPr>
      <w:rPr>
        <w:rFonts w:ascii="Wingdings" w:hAnsi="Wingdings" w:hint="default"/>
        <w:b/>
        <w:bCs/>
        <w:spacing w:val="-28"/>
        <w:w w:val="100"/>
        <w:sz w:val="24"/>
        <w:szCs w:val="24"/>
        <w:lang w:val="fr-FR" w:eastAsia="fr-FR" w:bidi="fr-FR"/>
      </w:rPr>
    </w:lvl>
    <w:lvl w:ilvl="1" w:tplc="ACC80D78">
      <w:numFmt w:val="bullet"/>
      <w:lvlText w:val="•"/>
      <w:lvlJc w:val="left"/>
      <w:pPr>
        <w:ind w:left="1074" w:hanging="173"/>
      </w:pPr>
      <w:rPr>
        <w:rFonts w:hint="default"/>
        <w:lang w:val="fr-FR" w:eastAsia="fr-FR" w:bidi="fr-FR"/>
      </w:rPr>
    </w:lvl>
    <w:lvl w:ilvl="2" w:tplc="00F4E64A">
      <w:numFmt w:val="bullet"/>
      <w:lvlText w:val="•"/>
      <w:lvlJc w:val="left"/>
      <w:pPr>
        <w:ind w:left="2049" w:hanging="173"/>
      </w:pPr>
      <w:rPr>
        <w:rFonts w:hint="default"/>
        <w:lang w:val="fr-FR" w:eastAsia="fr-FR" w:bidi="fr-FR"/>
      </w:rPr>
    </w:lvl>
    <w:lvl w:ilvl="3" w:tplc="47BA0E84">
      <w:numFmt w:val="bullet"/>
      <w:lvlText w:val="•"/>
      <w:lvlJc w:val="left"/>
      <w:pPr>
        <w:ind w:left="3023" w:hanging="173"/>
      </w:pPr>
      <w:rPr>
        <w:rFonts w:hint="default"/>
        <w:lang w:val="fr-FR" w:eastAsia="fr-FR" w:bidi="fr-FR"/>
      </w:rPr>
    </w:lvl>
    <w:lvl w:ilvl="4" w:tplc="1D7A41C0">
      <w:numFmt w:val="bullet"/>
      <w:lvlText w:val="•"/>
      <w:lvlJc w:val="left"/>
      <w:pPr>
        <w:ind w:left="3998" w:hanging="173"/>
      </w:pPr>
      <w:rPr>
        <w:rFonts w:hint="default"/>
        <w:lang w:val="fr-FR" w:eastAsia="fr-FR" w:bidi="fr-FR"/>
      </w:rPr>
    </w:lvl>
    <w:lvl w:ilvl="5" w:tplc="DC007448">
      <w:numFmt w:val="bullet"/>
      <w:lvlText w:val="•"/>
      <w:lvlJc w:val="left"/>
      <w:pPr>
        <w:ind w:left="4972" w:hanging="173"/>
      </w:pPr>
      <w:rPr>
        <w:rFonts w:hint="default"/>
        <w:lang w:val="fr-FR" w:eastAsia="fr-FR" w:bidi="fr-FR"/>
      </w:rPr>
    </w:lvl>
    <w:lvl w:ilvl="6" w:tplc="5AAE2CBA">
      <w:numFmt w:val="bullet"/>
      <w:lvlText w:val="•"/>
      <w:lvlJc w:val="left"/>
      <w:pPr>
        <w:ind w:left="5947" w:hanging="173"/>
      </w:pPr>
      <w:rPr>
        <w:rFonts w:hint="default"/>
        <w:lang w:val="fr-FR" w:eastAsia="fr-FR" w:bidi="fr-FR"/>
      </w:rPr>
    </w:lvl>
    <w:lvl w:ilvl="7" w:tplc="48BE0384">
      <w:numFmt w:val="bullet"/>
      <w:lvlText w:val="•"/>
      <w:lvlJc w:val="left"/>
      <w:pPr>
        <w:ind w:left="6921" w:hanging="173"/>
      </w:pPr>
      <w:rPr>
        <w:rFonts w:hint="default"/>
        <w:lang w:val="fr-FR" w:eastAsia="fr-FR" w:bidi="fr-FR"/>
      </w:rPr>
    </w:lvl>
    <w:lvl w:ilvl="8" w:tplc="2DDA798E">
      <w:numFmt w:val="bullet"/>
      <w:lvlText w:val="•"/>
      <w:lvlJc w:val="left"/>
      <w:pPr>
        <w:ind w:left="7896" w:hanging="173"/>
      </w:pPr>
      <w:rPr>
        <w:rFonts w:hint="default"/>
        <w:lang w:val="fr-FR" w:eastAsia="fr-FR" w:bidi="fr-FR"/>
      </w:rPr>
    </w:lvl>
  </w:abstractNum>
  <w:abstractNum w:abstractNumId="18" w15:restartNumberingAfterBreak="0">
    <w:nsid w:val="4996421A"/>
    <w:multiLevelType w:val="hybridMultilevel"/>
    <w:tmpl w:val="EE6AF1BE"/>
    <w:lvl w:ilvl="0" w:tplc="C6ECC1FC">
      <w:start w:val="1"/>
      <w:numFmt w:val="lowerLetter"/>
      <w:pStyle w:val="heading2new"/>
      <w:lvlText w:val="%1."/>
      <w:lvlJc w:val="left"/>
      <w:pPr>
        <w:ind w:left="646" w:hanging="360"/>
      </w:pPr>
    </w:lvl>
    <w:lvl w:ilvl="1" w:tplc="040C0019" w:tentative="1">
      <w:start w:val="1"/>
      <w:numFmt w:val="lowerLetter"/>
      <w:pStyle w:val="heading2new"/>
      <w:lvlText w:val="%2."/>
      <w:lvlJc w:val="left"/>
      <w:pPr>
        <w:ind w:left="1366" w:hanging="360"/>
      </w:pPr>
    </w:lvl>
    <w:lvl w:ilvl="2" w:tplc="040C001B" w:tentative="1">
      <w:start w:val="1"/>
      <w:numFmt w:val="lowerRoman"/>
      <w:lvlText w:val="%3."/>
      <w:lvlJc w:val="right"/>
      <w:pPr>
        <w:ind w:left="2086" w:hanging="180"/>
      </w:pPr>
    </w:lvl>
    <w:lvl w:ilvl="3" w:tplc="040C000F" w:tentative="1">
      <w:start w:val="1"/>
      <w:numFmt w:val="decimal"/>
      <w:lvlText w:val="%4."/>
      <w:lvlJc w:val="left"/>
      <w:pPr>
        <w:ind w:left="2806" w:hanging="360"/>
      </w:pPr>
    </w:lvl>
    <w:lvl w:ilvl="4" w:tplc="040C0019" w:tentative="1">
      <w:start w:val="1"/>
      <w:numFmt w:val="lowerLetter"/>
      <w:lvlText w:val="%5."/>
      <w:lvlJc w:val="left"/>
      <w:pPr>
        <w:ind w:left="3526" w:hanging="360"/>
      </w:pPr>
    </w:lvl>
    <w:lvl w:ilvl="5" w:tplc="040C001B" w:tentative="1">
      <w:start w:val="1"/>
      <w:numFmt w:val="lowerRoman"/>
      <w:lvlText w:val="%6."/>
      <w:lvlJc w:val="right"/>
      <w:pPr>
        <w:ind w:left="4246" w:hanging="180"/>
      </w:pPr>
    </w:lvl>
    <w:lvl w:ilvl="6" w:tplc="040C000F" w:tentative="1">
      <w:start w:val="1"/>
      <w:numFmt w:val="decimal"/>
      <w:lvlText w:val="%7."/>
      <w:lvlJc w:val="left"/>
      <w:pPr>
        <w:ind w:left="4966" w:hanging="360"/>
      </w:pPr>
    </w:lvl>
    <w:lvl w:ilvl="7" w:tplc="040C0019" w:tentative="1">
      <w:start w:val="1"/>
      <w:numFmt w:val="lowerLetter"/>
      <w:lvlText w:val="%8."/>
      <w:lvlJc w:val="left"/>
      <w:pPr>
        <w:ind w:left="5686" w:hanging="360"/>
      </w:pPr>
    </w:lvl>
    <w:lvl w:ilvl="8" w:tplc="040C001B" w:tentative="1">
      <w:start w:val="1"/>
      <w:numFmt w:val="lowerRoman"/>
      <w:lvlText w:val="%9."/>
      <w:lvlJc w:val="right"/>
      <w:pPr>
        <w:ind w:left="6406" w:hanging="180"/>
      </w:pPr>
    </w:lvl>
  </w:abstractNum>
  <w:abstractNum w:abstractNumId="19" w15:restartNumberingAfterBreak="0">
    <w:nsid w:val="50A63B0D"/>
    <w:multiLevelType w:val="hybridMultilevel"/>
    <w:tmpl w:val="91F25448"/>
    <w:lvl w:ilvl="0" w:tplc="B99661F8">
      <w:numFmt w:val="bullet"/>
      <w:pStyle w:val="liste0"/>
      <w:lvlText w:val="v"/>
      <w:lvlJc w:val="left"/>
      <w:pPr>
        <w:ind w:left="720" w:hanging="360"/>
      </w:pPr>
      <w:rPr>
        <w:rFonts w:ascii="Wingdings" w:eastAsia="Times New Roman" w:hAnsi="Wingdings" w:cs="Times New Roman" w:hint="default"/>
        <w:b/>
        <w:bCs/>
        <w:color w:val="833C0B" w:themeColor="accent2" w:themeShade="80"/>
        <w:spacing w:val="-28"/>
        <w:w w:val="10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0733EB"/>
    <w:multiLevelType w:val="hybridMultilevel"/>
    <w:tmpl w:val="8C869880"/>
    <w:lvl w:ilvl="0" w:tplc="B0F2E6CC">
      <w:start w:val="1"/>
      <w:numFmt w:val="bullet"/>
      <w:lvlText w:val="Ö"/>
      <w:lvlJc w:val="left"/>
      <w:pPr>
        <w:ind w:left="2939" w:hanging="360"/>
      </w:pPr>
      <w:rPr>
        <w:rFonts w:ascii="Wingdings" w:hAnsi="Wingdings" w:hint="default"/>
      </w:rPr>
    </w:lvl>
    <w:lvl w:ilvl="1" w:tplc="ECFACB14">
      <w:start w:val="1"/>
      <w:numFmt w:val="bullet"/>
      <w:pStyle w:val="listex"/>
      <w:lvlText w:val="F"/>
      <w:lvlJc w:val="left"/>
      <w:pPr>
        <w:ind w:left="1440" w:hanging="360"/>
      </w:pPr>
      <w:rPr>
        <w:rFonts w:ascii="Wingdings" w:hAnsi="Wingdings" w:hint="default"/>
        <w:b/>
        <w:bCs/>
        <w:color w:val="FF0066"/>
        <w:spacing w:val="-28"/>
        <w:w w:val="100"/>
        <w:sz w:val="24"/>
        <w:szCs w:val="24"/>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C1A1713"/>
    <w:multiLevelType w:val="multilevel"/>
    <w:tmpl w:val="D7243DF0"/>
    <w:lvl w:ilvl="0">
      <w:start w:val="1"/>
      <w:numFmt w:val="decimal"/>
      <w:pStyle w:val="Titre1"/>
      <w:lvlText w:val="%1."/>
      <w:lvlJc w:val="left"/>
      <w:pPr>
        <w:ind w:left="360" w:hanging="360"/>
      </w:pPr>
      <w:rPr>
        <w:rFonts w:hint="default"/>
        <w:szCs w:val="24"/>
        <w:lang w:val="fr-FR" w:eastAsia="fr-FR" w:bidi="fr-FR"/>
      </w:rPr>
    </w:lvl>
    <w:lvl w:ilvl="1">
      <w:start w:val="1"/>
      <w:numFmt w:val="decimal"/>
      <w:pStyle w:val="Titre2"/>
      <w:lvlText w:val="%1.%2."/>
      <w:lvlJc w:val="left"/>
      <w:pPr>
        <w:ind w:left="792" w:hanging="432"/>
      </w:pPr>
      <w:rPr>
        <w:rFonts w:hint="default"/>
        <w:lang w:val="fr-FR" w:eastAsia="fr-FR" w:bidi="fr-FR"/>
      </w:rPr>
    </w:lvl>
    <w:lvl w:ilvl="2">
      <w:start w:val="1"/>
      <w:numFmt w:val="decimal"/>
      <w:pStyle w:val="Titre3"/>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fr-F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ind w:left="1728" w:hanging="648"/>
      </w:pPr>
      <w:rPr>
        <w:rFonts w:hint="default"/>
        <w:lang w:val="fr-FR" w:eastAsia="fr-FR" w:bidi="fr-FR"/>
      </w:rPr>
    </w:lvl>
    <w:lvl w:ilvl="4">
      <w:start w:val="1"/>
      <w:numFmt w:val="decimal"/>
      <w:pStyle w:val="heading5new"/>
      <w:lvlText w:val="%1.%2.%3.%4.%5."/>
      <w:lvlJc w:val="left"/>
      <w:pPr>
        <w:ind w:left="2232" w:hanging="792"/>
      </w:pPr>
      <w:rPr>
        <w:rFonts w:hint="default"/>
        <w:lang w:val="fr-FR" w:eastAsia="fr-FR" w:bidi="fr-FR"/>
      </w:rPr>
    </w:lvl>
    <w:lvl w:ilvl="5">
      <w:start w:val="1"/>
      <w:numFmt w:val="decimal"/>
      <w:lvlText w:val="%1.%2.%3.%4.%5.%6."/>
      <w:lvlJc w:val="left"/>
      <w:pPr>
        <w:ind w:left="2736" w:hanging="936"/>
      </w:pPr>
      <w:rPr>
        <w:rFonts w:hint="default"/>
        <w:lang w:val="fr-FR" w:eastAsia="fr-FR" w:bidi="fr-FR"/>
      </w:rPr>
    </w:lvl>
    <w:lvl w:ilvl="6">
      <w:start w:val="1"/>
      <w:numFmt w:val="decimal"/>
      <w:lvlText w:val="%1.%2.%3.%4.%5.%6.%7."/>
      <w:lvlJc w:val="left"/>
      <w:pPr>
        <w:ind w:left="3240" w:hanging="1080"/>
      </w:pPr>
      <w:rPr>
        <w:rFonts w:hint="default"/>
        <w:lang w:val="fr-FR" w:eastAsia="fr-FR" w:bidi="fr-FR"/>
      </w:rPr>
    </w:lvl>
    <w:lvl w:ilvl="7">
      <w:start w:val="1"/>
      <w:numFmt w:val="decimal"/>
      <w:lvlText w:val="%1.%2.%3.%4.%5.%6.%7.%8."/>
      <w:lvlJc w:val="left"/>
      <w:pPr>
        <w:ind w:left="3744" w:hanging="1224"/>
      </w:pPr>
      <w:rPr>
        <w:rFonts w:hint="default"/>
        <w:lang w:val="fr-FR" w:eastAsia="fr-FR" w:bidi="fr-FR"/>
      </w:rPr>
    </w:lvl>
    <w:lvl w:ilvl="8">
      <w:start w:val="1"/>
      <w:numFmt w:val="decimal"/>
      <w:lvlText w:val="%1.%2.%3.%4.%5.%6.%7.%8.%9."/>
      <w:lvlJc w:val="left"/>
      <w:pPr>
        <w:ind w:left="4320" w:hanging="1440"/>
      </w:pPr>
      <w:rPr>
        <w:rFonts w:hint="default"/>
        <w:lang w:val="fr-FR" w:eastAsia="fr-FR" w:bidi="fr-FR"/>
      </w:rPr>
    </w:lvl>
  </w:abstractNum>
  <w:abstractNum w:abstractNumId="22" w15:restartNumberingAfterBreak="0">
    <w:nsid w:val="6A440F83"/>
    <w:multiLevelType w:val="multilevel"/>
    <w:tmpl w:val="502649A0"/>
    <w:lvl w:ilvl="0">
      <w:start w:val="5"/>
      <w:numFmt w:val="decimal"/>
      <w:lvlText w:val="%1"/>
      <w:lvlJc w:val="left"/>
      <w:pPr>
        <w:ind w:left="815" w:hanging="600"/>
      </w:pPr>
      <w:rPr>
        <w:rFonts w:hint="default"/>
        <w:lang w:val="fr-FR" w:eastAsia="fr-FR" w:bidi="fr-FR"/>
      </w:rPr>
    </w:lvl>
    <w:lvl w:ilvl="1">
      <w:start w:val="1"/>
      <w:numFmt w:val="bullet"/>
      <w:pStyle w:val="listetoile"/>
      <w:lvlText w:val=""/>
      <w:lvlJc w:val="left"/>
      <w:pPr>
        <w:ind w:left="815" w:hanging="600"/>
      </w:pPr>
      <w:rPr>
        <w:rFonts w:ascii="Wingdings" w:hAnsi="Wingdings" w:hint="default"/>
        <w:sz w:val="20"/>
        <w:szCs w:val="20"/>
        <w:lang w:val="fr-FR" w:eastAsia="fr-FR" w:bidi="fr-FR"/>
      </w:rPr>
    </w:lvl>
    <w:lvl w:ilvl="2">
      <w:start w:val="1"/>
      <w:numFmt w:val="decimal"/>
      <w:lvlText w:val="%1.%2.%3."/>
      <w:lvlJc w:val="left"/>
      <w:pPr>
        <w:ind w:left="815" w:hanging="60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3742" w:hanging="600"/>
      </w:pPr>
      <w:rPr>
        <w:rFonts w:hint="default"/>
        <w:lang w:val="fr-FR" w:eastAsia="fr-FR" w:bidi="fr-FR"/>
      </w:rPr>
    </w:lvl>
    <w:lvl w:ilvl="4">
      <w:numFmt w:val="bullet"/>
      <w:lvlText w:val="•"/>
      <w:lvlJc w:val="left"/>
      <w:pPr>
        <w:ind w:left="4716" w:hanging="600"/>
      </w:pPr>
      <w:rPr>
        <w:rFonts w:hint="default"/>
        <w:lang w:val="fr-FR" w:eastAsia="fr-FR" w:bidi="fr-FR"/>
      </w:rPr>
    </w:lvl>
    <w:lvl w:ilvl="5">
      <w:numFmt w:val="bullet"/>
      <w:lvlText w:val="•"/>
      <w:lvlJc w:val="left"/>
      <w:pPr>
        <w:ind w:left="5690" w:hanging="600"/>
      </w:pPr>
      <w:rPr>
        <w:rFonts w:hint="default"/>
        <w:lang w:val="fr-FR" w:eastAsia="fr-FR" w:bidi="fr-FR"/>
      </w:rPr>
    </w:lvl>
    <w:lvl w:ilvl="6">
      <w:numFmt w:val="bullet"/>
      <w:lvlText w:val="•"/>
      <w:lvlJc w:val="left"/>
      <w:pPr>
        <w:ind w:left="6664" w:hanging="600"/>
      </w:pPr>
      <w:rPr>
        <w:rFonts w:hint="default"/>
        <w:lang w:val="fr-FR" w:eastAsia="fr-FR" w:bidi="fr-FR"/>
      </w:rPr>
    </w:lvl>
    <w:lvl w:ilvl="7">
      <w:numFmt w:val="bullet"/>
      <w:lvlText w:val="•"/>
      <w:lvlJc w:val="left"/>
      <w:pPr>
        <w:ind w:left="7638" w:hanging="600"/>
      </w:pPr>
      <w:rPr>
        <w:rFonts w:hint="default"/>
        <w:lang w:val="fr-FR" w:eastAsia="fr-FR" w:bidi="fr-FR"/>
      </w:rPr>
    </w:lvl>
    <w:lvl w:ilvl="8">
      <w:numFmt w:val="bullet"/>
      <w:lvlText w:val="•"/>
      <w:lvlJc w:val="left"/>
      <w:pPr>
        <w:ind w:left="8612" w:hanging="600"/>
      </w:pPr>
      <w:rPr>
        <w:rFonts w:hint="default"/>
        <w:lang w:val="fr-FR" w:eastAsia="fr-FR" w:bidi="fr-FR"/>
      </w:rPr>
    </w:lvl>
  </w:abstractNum>
  <w:abstractNum w:abstractNumId="23" w15:restartNumberingAfterBreak="0">
    <w:nsid w:val="73A8347A"/>
    <w:multiLevelType w:val="multilevel"/>
    <w:tmpl w:val="FBCA18C2"/>
    <w:lvl w:ilvl="0">
      <w:start w:val="1"/>
      <w:numFmt w:val="decimal"/>
      <w:pStyle w:val="objlist"/>
      <w:lvlText w:val="%1."/>
      <w:lvlJc w:val="left"/>
      <w:pPr>
        <w:ind w:left="675" w:hanging="420"/>
      </w:pPr>
      <w:rPr>
        <w:rFonts w:hint="default"/>
        <w:lang w:val="fr-FR" w:eastAsia="fr-FR" w:bidi="fr-FR"/>
      </w:rPr>
    </w:lvl>
    <w:lvl w:ilvl="1">
      <w:start w:val="1"/>
      <w:numFmt w:val="decimal"/>
      <w:lvlText w:val="%1.%2."/>
      <w:lvlJc w:val="left"/>
      <w:pPr>
        <w:ind w:left="675" w:hanging="420"/>
      </w:pPr>
      <w:rPr>
        <w:rFonts w:ascii="Times New Roman" w:eastAsia="Times New Roman" w:hAnsi="Times New Roman" w:cs="Times New Roman" w:hint="default"/>
        <w:b/>
        <w:bCs/>
        <w:spacing w:val="-1"/>
        <w:w w:val="100"/>
        <w:sz w:val="24"/>
        <w:szCs w:val="24"/>
        <w:lang w:val="fr-FR" w:eastAsia="fr-FR" w:bidi="fr-FR"/>
      </w:rPr>
    </w:lvl>
    <w:lvl w:ilvl="2">
      <w:start w:val="1"/>
      <w:numFmt w:val="decimal"/>
      <w:lvlText w:val="%1.%2.%3."/>
      <w:lvlJc w:val="left"/>
      <w:pPr>
        <w:ind w:left="855" w:hanging="600"/>
      </w:pPr>
      <w:rPr>
        <w:rFonts w:ascii="Times New Roman" w:eastAsia="Times New Roman" w:hAnsi="Times New Roman" w:cs="Times New Roman" w:hint="default"/>
        <w:spacing w:val="-1"/>
        <w:w w:val="100"/>
        <w:sz w:val="24"/>
        <w:szCs w:val="24"/>
        <w:lang w:val="fr-FR" w:eastAsia="fr-FR" w:bidi="fr-FR"/>
      </w:rPr>
    </w:lvl>
    <w:lvl w:ilvl="3">
      <w:numFmt w:val="bullet"/>
      <w:lvlText w:val=""/>
      <w:lvlJc w:val="left"/>
      <w:pPr>
        <w:ind w:left="975" w:hanging="360"/>
      </w:pPr>
      <w:rPr>
        <w:rFonts w:ascii="Wingdings" w:eastAsia="Wingdings" w:hAnsi="Wingdings" w:cs="Wingdings" w:hint="default"/>
        <w:w w:val="100"/>
        <w:sz w:val="24"/>
        <w:szCs w:val="24"/>
        <w:lang w:val="fr-FR" w:eastAsia="fr-FR" w:bidi="fr-FR"/>
      </w:rPr>
    </w:lvl>
    <w:lvl w:ilvl="4">
      <w:numFmt w:val="bullet"/>
      <w:lvlText w:val="•"/>
      <w:lvlJc w:val="left"/>
      <w:pPr>
        <w:ind w:left="3515" w:hanging="360"/>
      </w:pPr>
      <w:rPr>
        <w:rFonts w:hint="default"/>
        <w:lang w:val="fr-FR" w:eastAsia="fr-FR" w:bidi="fr-FR"/>
      </w:rPr>
    </w:lvl>
    <w:lvl w:ilvl="5">
      <w:numFmt w:val="bullet"/>
      <w:lvlText w:val="•"/>
      <w:lvlJc w:val="left"/>
      <w:pPr>
        <w:ind w:left="4782" w:hanging="360"/>
      </w:pPr>
      <w:rPr>
        <w:rFonts w:hint="default"/>
        <w:lang w:val="fr-FR" w:eastAsia="fr-FR" w:bidi="fr-FR"/>
      </w:rPr>
    </w:lvl>
    <w:lvl w:ilvl="6">
      <w:numFmt w:val="bullet"/>
      <w:lvlText w:val="•"/>
      <w:lvlJc w:val="left"/>
      <w:pPr>
        <w:ind w:left="6050" w:hanging="360"/>
      </w:pPr>
      <w:rPr>
        <w:rFonts w:hint="default"/>
        <w:lang w:val="fr-FR" w:eastAsia="fr-FR" w:bidi="fr-FR"/>
      </w:rPr>
    </w:lvl>
    <w:lvl w:ilvl="7">
      <w:numFmt w:val="bullet"/>
      <w:lvlText w:val="•"/>
      <w:lvlJc w:val="left"/>
      <w:pPr>
        <w:ind w:left="7317" w:hanging="360"/>
      </w:pPr>
      <w:rPr>
        <w:rFonts w:hint="default"/>
        <w:lang w:val="fr-FR" w:eastAsia="fr-FR" w:bidi="fr-FR"/>
      </w:rPr>
    </w:lvl>
    <w:lvl w:ilvl="8">
      <w:numFmt w:val="bullet"/>
      <w:lvlText w:val="•"/>
      <w:lvlJc w:val="left"/>
      <w:pPr>
        <w:ind w:left="8585" w:hanging="360"/>
      </w:pPr>
      <w:rPr>
        <w:rFonts w:hint="default"/>
        <w:lang w:val="fr-FR" w:eastAsia="fr-FR" w:bidi="fr-FR"/>
      </w:rPr>
    </w:lvl>
  </w:abstractNum>
  <w:abstractNum w:abstractNumId="24" w15:restartNumberingAfterBreak="0">
    <w:nsid w:val="740669C3"/>
    <w:multiLevelType w:val="hybridMultilevel"/>
    <w:tmpl w:val="7FC2D38E"/>
    <w:lvl w:ilvl="0" w:tplc="846EE460">
      <w:start w:val="1"/>
      <w:numFmt w:val="lowerRoman"/>
      <w:pStyle w:val="heading6new"/>
      <w:lvlText w:val="%1."/>
      <w:lvlJc w:val="left"/>
      <w:pPr>
        <w:ind w:left="2100" w:hanging="360"/>
      </w:pPr>
      <w:rPr>
        <w:rFonts w:hint="default"/>
      </w:rPr>
    </w:lvl>
    <w:lvl w:ilvl="1" w:tplc="040C0019" w:tentative="1">
      <w:start w:val="1"/>
      <w:numFmt w:val="lowerLetter"/>
      <w:lvlText w:val="%2."/>
      <w:lvlJc w:val="left"/>
      <w:pPr>
        <w:ind w:left="2820" w:hanging="360"/>
      </w:pPr>
    </w:lvl>
    <w:lvl w:ilvl="2" w:tplc="040C001B" w:tentative="1">
      <w:start w:val="1"/>
      <w:numFmt w:val="lowerRoman"/>
      <w:lvlText w:val="%3."/>
      <w:lvlJc w:val="right"/>
      <w:pPr>
        <w:ind w:left="3540" w:hanging="180"/>
      </w:pPr>
    </w:lvl>
    <w:lvl w:ilvl="3" w:tplc="040C000F" w:tentative="1">
      <w:start w:val="1"/>
      <w:numFmt w:val="decimal"/>
      <w:lvlText w:val="%4."/>
      <w:lvlJc w:val="left"/>
      <w:pPr>
        <w:ind w:left="4260" w:hanging="360"/>
      </w:pPr>
    </w:lvl>
    <w:lvl w:ilvl="4" w:tplc="040C0019" w:tentative="1">
      <w:start w:val="1"/>
      <w:numFmt w:val="lowerLetter"/>
      <w:lvlText w:val="%5."/>
      <w:lvlJc w:val="left"/>
      <w:pPr>
        <w:ind w:left="4980" w:hanging="360"/>
      </w:pPr>
    </w:lvl>
    <w:lvl w:ilvl="5" w:tplc="040C001B">
      <w:start w:val="1"/>
      <w:numFmt w:val="lowerRoman"/>
      <w:pStyle w:val="heading6new"/>
      <w:lvlText w:val="%6."/>
      <w:lvlJc w:val="right"/>
      <w:pPr>
        <w:ind w:left="5700" w:hanging="180"/>
      </w:pPr>
    </w:lvl>
    <w:lvl w:ilvl="6" w:tplc="040C000F" w:tentative="1">
      <w:start w:val="1"/>
      <w:numFmt w:val="decimal"/>
      <w:lvlText w:val="%7."/>
      <w:lvlJc w:val="left"/>
      <w:pPr>
        <w:ind w:left="6420" w:hanging="360"/>
      </w:pPr>
    </w:lvl>
    <w:lvl w:ilvl="7" w:tplc="040C0019" w:tentative="1">
      <w:start w:val="1"/>
      <w:numFmt w:val="lowerLetter"/>
      <w:lvlText w:val="%8."/>
      <w:lvlJc w:val="left"/>
      <w:pPr>
        <w:ind w:left="7140" w:hanging="360"/>
      </w:pPr>
    </w:lvl>
    <w:lvl w:ilvl="8" w:tplc="040C001B" w:tentative="1">
      <w:start w:val="1"/>
      <w:numFmt w:val="lowerRoman"/>
      <w:lvlText w:val="%9."/>
      <w:lvlJc w:val="right"/>
      <w:pPr>
        <w:ind w:left="7860" w:hanging="180"/>
      </w:pPr>
    </w:lvl>
  </w:abstractNum>
  <w:abstractNum w:abstractNumId="25" w15:restartNumberingAfterBreak="0">
    <w:nsid w:val="7B542A5D"/>
    <w:multiLevelType w:val="hybridMultilevel"/>
    <w:tmpl w:val="B0BC9792"/>
    <w:lvl w:ilvl="0" w:tplc="5440ACE4">
      <w:numFmt w:val="bullet"/>
      <w:pStyle w:val="listey"/>
      <w:lvlText w:val="M"/>
      <w:lvlJc w:val="left"/>
      <w:pPr>
        <w:ind w:left="1860" w:hanging="360"/>
      </w:pPr>
      <w:rPr>
        <w:rFonts w:ascii="Wingdings" w:eastAsia="Times New Roman" w:hAnsi="Wingdings" w:cs="Times New Roman" w:hint="default"/>
        <w:b/>
        <w:bCs/>
        <w:spacing w:val="-28"/>
        <w:w w:val="100"/>
        <w:sz w:val="24"/>
        <w:szCs w:val="24"/>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26" w15:restartNumberingAfterBreak="0">
    <w:nsid w:val="7E403194"/>
    <w:multiLevelType w:val="hybridMultilevel"/>
    <w:tmpl w:val="B09A79D8"/>
    <w:lvl w:ilvl="0" w:tplc="BF7C91AA">
      <w:start w:val="1"/>
      <w:numFmt w:val="bullet"/>
      <w:pStyle w:val="listchek"/>
      <w:lvlText w:val=""/>
      <w:lvlJc w:val="left"/>
      <w:pPr>
        <w:ind w:left="566" w:hanging="291"/>
      </w:pPr>
      <w:rPr>
        <w:rFonts w:ascii="Wingdings" w:hAnsi="Wingdings" w:hint="default"/>
        <w:w w:val="100"/>
        <w:sz w:val="24"/>
        <w:szCs w:val="24"/>
        <w:lang w:val="fr-FR" w:eastAsia="fr-FR" w:bidi="fr-FR"/>
      </w:rPr>
    </w:lvl>
    <w:lvl w:ilvl="1" w:tplc="1D3E4E8C">
      <w:numFmt w:val="bullet"/>
      <w:lvlText w:val="•"/>
      <w:lvlJc w:val="left"/>
      <w:pPr>
        <w:ind w:left="1536" w:hanging="291"/>
      </w:pPr>
      <w:rPr>
        <w:rFonts w:hint="default"/>
        <w:lang w:val="fr-FR" w:eastAsia="fr-FR" w:bidi="fr-FR"/>
      </w:rPr>
    </w:lvl>
    <w:lvl w:ilvl="2" w:tplc="BE9616F0">
      <w:numFmt w:val="bullet"/>
      <w:lvlText w:val="•"/>
      <w:lvlJc w:val="left"/>
      <w:pPr>
        <w:ind w:left="2513" w:hanging="291"/>
      </w:pPr>
      <w:rPr>
        <w:rFonts w:hint="default"/>
        <w:lang w:val="fr-FR" w:eastAsia="fr-FR" w:bidi="fr-FR"/>
      </w:rPr>
    </w:lvl>
    <w:lvl w:ilvl="3" w:tplc="33A49006">
      <w:numFmt w:val="bullet"/>
      <w:lvlText w:val="•"/>
      <w:lvlJc w:val="left"/>
      <w:pPr>
        <w:ind w:left="3489" w:hanging="291"/>
      </w:pPr>
      <w:rPr>
        <w:rFonts w:hint="default"/>
        <w:lang w:val="fr-FR" w:eastAsia="fr-FR" w:bidi="fr-FR"/>
      </w:rPr>
    </w:lvl>
    <w:lvl w:ilvl="4" w:tplc="9A38F2CE">
      <w:numFmt w:val="bullet"/>
      <w:lvlText w:val="•"/>
      <w:lvlJc w:val="left"/>
      <w:pPr>
        <w:ind w:left="4466" w:hanging="291"/>
      </w:pPr>
      <w:rPr>
        <w:rFonts w:hint="default"/>
        <w:lang w:val="fr-FR" w:eastAsia="fr-FR" w:bidi="fr-FR"/>
      </w:rPr>
    </w:lvl>
    <w:lvl w:ilvl="5" w:tplc="81F28136">
      <w:numFmt w:val="bullet"/>
      <w:lvlText w:val="•"/>
      <w:lvlJc w:val="left"/>
      <w:pPr>
        <w:ind w:left="5442" w:hanging="291"/>
      </w:pPr>
      <w:rPr>
        <w:rFonts w:hint="default"/>
        <w:lang w:val="fr-FR" w:eastAsia="fr-FR" w:bidi="fr-FR"/>
      </w:rPr>
    </w:lvl>
    <w:lvl w:ilvl="6" w:tplc="99D4042A">
      <w:numFmt w:val="bullet"/>
      <w:lvlText w:val="•"/>
      <w:lvlJc w:val="left"/>
      <w:pPr>
        <w:ind w:left="6419" w:hanging="291"/>
      </w:pPr>
      <w:rPr>
        <w:rFonts w:hint="default"/>
        <w:lang w:val="fr-FR" w:eastAsia="fr-FR" w:bidi="fr-FR"/>
      </w:rPr>
    </w:lvl>
    <w:lvl w:ilvl="7" w:tplc="F708B50E">
      <w:numFmt w:val="bullet"/>
      <w:lvlText w:val="•"/>
      <w:lvlJc w:val="left"/>
      <w:pPr>
        <w:ind w:left="7395" w:hanging="291"/>
      </w:pPr>
      <w:rPr>
        <w:rFonts w:hint="default"/>
        <w:lang w:val="fr-FR" w:eastAsia="fr-FR" w:bidi="fr-FR"/>
      </w:rPr>
    </w:lvl>
    <w:lvl w:ilvl="8" w:tplc="52501ACA">
      <w:numFmt w:val="bullet"/>
      <w:lvlText w:val="•"/>
      <w:lvlJc w:val="left"/>
      <w:pPr>
        <w:ind w:left="8372" w:hanging="291"/>
      </w:pPr>
      <w:rPr>
        <w:rFonts w:hint="default"/>
        <w:lang w:val="fr-FR" w:eastAsia="fr-FR" w:bidi="fr-FR"/>
      </w:rPr>
    </w:lvl>
  </w:abstractNum>
  <w:num w:numId="1" w16cid:durableId="277107044">
    <w:abstractNumId w:val="1"/>
  </w:num>
  <w:num w:numId="2" w16cid:durableId="1415275259">
    <w:abstractNumId w:val="0"/>
    <w:lvlOverride w:ilvl="0">
      <w:startOverride w:val="1"/>
    </w:lvlOverride>
    <w:lvlOverride w:ilvl="1"/>
    <w:lvlOverride w:ilvl="2"/>
    <w:lvlOverride w:ilvl="3"/>
    <w:lvlOverride w:ilvl="4"/>
    <w:lvlOverride w:ilvl="5"/>
    <w:lvlOverride w:ilvl="6"/>
    <w:lvlOverride w:ilvl="7"/>
    <w:lvlOverride w:ilvl="8"/>
  </w:num>
  <w:num w:numId="3" w16cid:durableId="570581233">
    <w:abstractNumId w:val="3"/>
  </w:num>
  <w:num w:numId="4" w16cid:durableId="2113161756">
    <w:abstractNumId w:val="2"/>
  </w:num>
  <w:num w:numId="5" w16cid:durableId="839658280">
    <w:abstractNumId w:val="15"/>
  </w:num>
  <w:num w:numId="6" w16cid:durableId="727919591">
    <w:abstractNumId w:val="6"/>
  </w:num>
  <w:num w:numId="7" w16cid:durableId="1706523517">
    <w:abstractNumId w:val="20"/>
  </w:num>
  <w:num w:numId="8" w16cid:durableId="1122068945">
    <w:abstractNumId w:val="17"/>
  </w:num>
  <w:num w:numId="9" w16cid:durableId="174732755">
    <w:abstractNumId w:val="22"/>
  </w:num>
  <w:num w:numId="10" w16cid:durableId="1275987501">
    <w:abstractNumId w:val="5"/>
  </w:num>
  <w:num w:numId="11" w16cid:durableId="541746463">
    <w:abstractNumId w:val="8"/>
  </w:num>
  <w:num w:numId="12" w16cid:durableId="1457138253">
    <w:abstractNumId w:val="25"/>
  </w:num>
  <w:num w:numId="13" w16cid:durableId="2031761871">
    <w:abstractNumId w:val="19"/>
  </w:num>
  <w:num w:numId="14" w16cid:durableId="1853907204">
    <w:abstractNumId w:val="13"/>
  </w:num>
  <w:num w:numId="15" w16cid:durableId="921835624">
    <w:abstractNumId w:val="24"/>
  </w:num>
  <w:num w:numId="16" w16cid:durableId="1888298259">
    <w:abstractNumId w:val="23"/>
  </w:num>
  <w:num w:numId="17" w16cid:durableId="1179851257">
    <w:abstractNumId w:val="21"/>
  </w:num>
  <w:num w:numId="18" w16cid:durableId="210461607">
    <w:abstractNumId w:val="9"/>
  </w:num>
  <w:num w:numId="19" w16cid:durableId="343947431">
    <w:abstractNumId w:val="10"/>
  </w:num>
  <w:num w:numId="20" w16cid:durableId="921525713">
    <w:abstractNumId w:val="11"/>
  </w:num>
  <w:num w:numId="21" w16cid:durableId="471097875">
    <w:abstractNumId w:val="18"/>
  </w:num>
  <w:num w:numId="22" w16cid:durableId="40525191">
    <w:abstractNumId w:val="7"/>
  </w:num>
  <w:num w:numId="23" w16cid:durableId="2045784461">
    <w:abstractNumId w:val="4"/>
  </w:num>
  <w:num w:numId="24" w16cid:durableId="1933856399">
    <w:abstractNumId w:val="16"/>
  </w:num>
  <w:num w:numId="25" w16cid:durableId="1546064156">
    <w:abstractNumId w:val="12"/>
  </w:num>
  <w:num w:numId="26" w16cid:durableId="1288858630">
    <w:abstractNumId w:val="26"/>
  </w:num>
  <w:num w:numId="27" w16cid:durableId="1229920332">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86"/>
    <w:rsid w:val="00002721"/>
    <w:rsid w:val="00007BE8"/>
    <w:rsid w:val="00010241"/>
    <w:rsid w:val="00014808"/>
    <w:rsid w:val="00034916"/>
    <w:rsid w:val="00034B0A"/>
    <w:rsid w:val="00042215"/>
    <w:rsid w:val="00051141"/>
    <w:rsid w:val="00062807"/>
    <w:rsid w:val="000630BF"/>
    <w:rsid w:val="00064EF0"/>
    <w:rsid w:val="00072669"/>
    <w:rsid w:val="0007651E"/>
    <w:rsid w:val="00081695"/>
    <w:rsid w:val="0008355A"/>
    <w:rsid w:val="00095A65"/>
    <w:rsid w:val="0009602F"/>
    <w:rsid w:val="000A2E4C"/>
    <w:rsid w:val="000A3FC6"/>
    <w:rsid w:val="000B7A7D"/>
    <w:rsid w:val="000C43C2"/>
    <w:rsid w:val="000D170B"/>
    <w:rsid w:val="000E3E9D"/>
    <w:rsid w:val="000E410B"/>
    <w:rsid w:val="000E63B8"/>
    <w:rsid w:val="000F2D0E"/>
    <w:rsid w:val="00100220"/>
    <w:rsid w:val="0010451F"/>
    <w:rsid w:val="0010460D"/>
    <w:rsid w:val="00111D26"/>
    <w:rsid w:val="00114638"/>
    <w:rsid w:val="00114F8B"/>
    <w:rsid w:val="001161FB"/>
    <w:rsid w:val="00121516"/>
    <w:rsid w:val="001310C8"/>
    <w:rsid w:val="00131A8E"/>
    <w:rsid w:val="00140AC2"/>
    <w:rsid w:val="00146E12"/>
    <w:rsid w:val="00156D1A"/>
    <w:rsid w:val="00160EF1"/>
    <w:rsid w:val="0018097E"/>
    <w:rsid w:val="00187418"/>
    <w:rsid w:val="001A0BCA"/>
    <w:rsid w:val="001B10A8"/>
    <w:rsid w:val="001B746E"/>
    <w:rsid w:val="001C297D"/>
    <w:rsid w:val="001C3816"/>
    <w:rsid w:val="001C5BB1"/>
    <w:rsid w:val="001D09CD"/>
    <w:rsid w:val="001E3714"/>
    <w:rsid w:val="001E6066"/>
    <w:rsid w:val="001E7F0C"/>
    <w:rsid w:val="001F11FE"/>
    <w:rsid w:val="001F3DCF"/>
    <w:rsid w:val="00210E16"/>
    <w:rsid w:val="00215E1C"/>
    <w:rsid w:val="002245AF"/>
    <w:rsid w:val="002358AA"/>
    <w:rsid w:val="00236080"/>
    <w:rsid w:val="00244EE1"/>
    <w:rsid w:val="00255CFB"/>
    <w:rsid w:val="002624E4"/>
    <w:rsid w:val="00271C84"/>
    <w:rsid w:val="00273144"/>
    <w:rsid w:val="00277D6A"/>
    <w:rsid w:val="00291306"/>
    <w:rsid w:val="00296CA8"/>
    <w:rsid w:val="00296F76"/>
    <w:rsid w:val="00297A05"/>
    <w:rsid w:val="002A3188"/>
    <w:rsid w:val="002A333C"/>
    <w:rsid w:val="002B4487"/>
    <w:rsid w:val="002E2519"/>
    <w:rsid w:val="002F0515"/>
    <w:rsid w:val="00305E57"/>
    <w:rsid w:val="00306C4F"/>
    <w:rsid w:val="00316072"/>
    <w:rsid w:val="0031638D"/>
    <w:rsid w:val="00335D4D"/>
    <w:rsid w:val="0033772E"/>
    <w:rsid w:val="003473E0"/>
    <w:rsid w:val="00355A86"/>
    <w:rsid w:val="00356B56"/>
    <w:rsid w:val="0036068B"/>
    <w:rsid w:val="00371B94"/>
    <w:rsid w:val="00385235"/>
    <w:rsid w:val="003929CD"/>
    <w:rsid w:val="003A289F"/>
    <w:rsid w:val="003A5C97"/>
    <w:rsid w:val="003A6E98"/>
    <w:rsid w:val="003B6C09"/>
    <w:rsid w:val="003C0BC9"/>
    <w:rsid w:val="003D070F"/>
    <w:rsid w:val="003E310E"/>
    <w:rsid w:val="003F2C42"/>
    <w:rsid w:val="003F48AE"/>
    <w:rsid w:val="004007FC"/>
    <w:rsid w:val="00401972"/>
    <w:rsid w:val="00403C01"/>
    <w:rsid w:val="00411985"/>
    <w:rsid w:val="0041411F"/>
    <w:rsid w:val="00423FD4"/>
    <w:rsid w:val="00426DD0"/>
    <w:rsid w:val="00427A38"/>
    <w:rsid w:val="00436D0C"/>
    <w:rsid w:val="00444E70"/>
    <w:rsid w:val="00447BBC"/>
    <w:rsid w:val="00451BC1"/>
    <w:rsid w:val="0045211C"/>
    <w:rsid w:val="00466946"/>
    <w:rsid w:val="004674F2"/>
    <w:rsid w:val="004711BC"/>
    <w:rsid w:val="00473FFB"/>
    <w:rsid w:val="00483E40"/>
    <w:rsid w:val="00491200"/>
    <w:rsid w:val="004917C7"/>
    <w:rsid w:val="00493CC4"/>
    <w:rsid w:val="00494D2D"/>
    <w:rsid w:val="00494E07"/>
    <w:rsid w:val="00496DEA"/>
    <w:rsid w:val="00497BDD"/>
    <w:rsid w:val="004A3D6E"/>
    <w:rsid w:val="004C2A48"/>
    <w:rsid w:val="004C2C32"/>
    <w:rsid w:val="004C4440"/>
    <w:rsid w:val="004C4F75"/>
    <w:rsid w:val="004C5686"/>
    <w:rsid w:val="004D7D45"/>
    <w:rsid w:val="004E53B6"/>
    <w:rsid w:val="004E5C6C"/>
    <w:rsid w:val="004F32B7"/>
    <w:rsid w:val="004F6EA4"/>
    <w:rsid w:val="00500408"/>
    <w:rsid w:val="005128D4"/>
    <w:rsid w:val="00515016"/>
    <w:rsid w:val="0051561E"/>
    <w:rsid w:val="00520368"/>
    <w:rsid w:val="00523283"/>
    <w:rsid w:val="005266A7"/>
    <w:rsid w:val="005370AE"/>
    <w:rsid w:val="00550645"/>
    <w:rsid w:val="00562FD3"/>
    <w:rsid w:val="00572AF6"/>
    <w:rsid w:val="00576B08"/>
    <w:rsid w:val="00581599"/>
    <w:rsid w:val="00582E4B"/>
    <w:rsid w:val="00583B59"/>
    <w:rsid w:val="00595B68"/>
    <w:rsid w:val="005A0CA2"/>
    <w:rsid w:val="005A2C6A"/>
    <w:rsid w:val="005A37F4"/>
    <w:rsid w:val="005B2114"/>
    <w:rsid w:val="005C6BE2"/>
    <w:rsid w:val="005D42E9"/>
    <w:rsid w:val="005D4736"/>
    <w:rsid w:val="005E2331"/>
    <w:rsid w:val="006041CE"/>
    <w:rsid w:val="00615E4C"/>
    <w:rsid w:val="0062002B"/>
    <w:rsid w:val="00620120"/>
    <w:rsid w:val="00626430"/>
    <w:rsid w:val="00627BD6"/>
    <w:rsid w:val="006345E9"/>
    <w:rsid w:val="00645490"/>
    <w:rsid w:val="006508BD"/>
    <w:rsid w:val="00653FFA"/>
    <w:rsid w:val="00662A27"/>
    <w:rsid w:val="00662ABC"/>
    <w:rsid w:val="006772BA"/>
    <w:rsid w:val="00682C53"/>
    <w:rsid w:val="006949E0"/>
    <w:rsid w:val="006A57A3"/>
    <w:rsid w:val="006A60C2"/>
    <w:rsid w:val="006B4228"/>
    <w:rsid w:val="006B4430"/>
    <w:rsid w:val="006C36EA"/>
    <w:rsid w:val="006D0154"/>
    <w:rsid w:val="006D2A2C"/>
    <w:rsid w:val="006D3EE2"/>
    <w:rsid w:val="006E0EF4"/>
    <w:rsid w:val="006F077E"/>
    <w:rsid w:val="006F3280"/>
    <w:rsid w:val="006F3936"/>
    <w:rsid w:val="006F5DE4"/>
    <w:rsid w:val="00707CE8"/>
    <w:rsid w:val="00713900"/>
    <w:rsid w:val="00723BFA"/>
    <w:rsid w:val="007252D8"/>
    <w:rsid w:val="0072681C"/>
    <w:rsid w:val="00727040"/>
    <w:rsid w:val="00741395"/>
    <w:rsid w:val="00745E48"/>
    <w:rsid w:val="007519B6"/>
    <w:rsid w:val="007555CD"/>
    <w:rsid w:val="007626F3"/>
    <w:rsid w:val="007737D6"/>
    <w:rsid w:val="0077382E"/>
    <w:rsid w:val="00782B91"/>
    <w:rsid w:val="007907C1"/>
    <w:rsid w:val="00794C61"/>
    <w:rsid w:val="007B40A1"/>
    <w:rsid w:val="007B501F"/>
    <w:rsid w:val="007B5A0A"/>
    <w:rsid w:val="007B6A9D"/>
    <w:rsid w:val="007E5E84"/>
    <w:rsid w:val="007F7AE5"/>
    <w:rsid w:val="008017C7"/>
    <w:rsid w:val="008040D0"/>
    <w:rsid w:val="00804BF6"/>
    <w:rsid w:val="00806390"/>
    <w:rsid w:val="00806664"/>
    <w:rsid w:val="008073B1"/>
    <w:rsid w:val="00816C6F"/>
    <w:rsid w:val="0082215F"/>
    <w:rsid w:val="008239F0"/>
    <w:rsid w:val="00830095"/>
    <w:rsid w:val="0083750F"/>
    <w:rsid w:val="00846169"/>
    <w:rsid w:val="00846CC5"/>
    <w:rsid w:val="00855F3F"/>
    <w:rsid w:val="00865013"/>
    <w:rsid w:val="008650D1"/>
    <w:rsid w:val="008656C5"/>
    <w:rsid w:val="00870BA1"/>
    <w:rsid w:val="008751DD"/>
    <w:rsid w:val="00876FF5"/>
    <w:rsid w:val="00877CAA"/>
    <w:rsid w:val="00880BB5"/>
    <w:rsid w:val="008819D6"/>
    <w:rsid w:val="008A41A2"/>
    <w:rsid w:val="008E263F"/>
    <w:rsid w:val="008E6543"/>
    <w:rsid w:val="008F2D4E"/>
    <w:rsid w:val="008F47EE"/>
    <w:rsid w:val="008F70DB"/>
    <w:rsid w:val="009017B8"/>
    <w:rsid w:val="00904CFC"/>
    <w:rsid w:val="00904FA9"/>
    <w:rsid w:val="00905D5B"/>
    <w:rsid w:val="009132A0"/>
    <w:rsid w:val="00915EA3"/>
    <w:rsid w:val="009161BA"/>
    <w:rsid w:val="009211BA"/>
    <w:rsid w:val="00934879"/>
    <w:rsid w:val="00937922"/>
    <w:rsid w:val="009509D6"/>
    <w:rsid w:val="009560C2"/>
    <w:rsid w:val="009605E9"/>
    <w:rsid w:val="009675AC"/>
    <w:rsid w:val="00971EA5"/>
    <w:rsid w:val="0099135F"/>
    <w:rsid w:val="00995D72"/>
    <w:rsid w:val="009A2CEE"/>
    <w:rsid w:val="009A5576"/>
    <w:rsid w:val="009B3B70"/>
    <w:rsid w:val="009B7BA0"/>
    <w:rsid w:val="009C6E9D"/>
    <w:rsid w:val="009D1828"/>
    <w:rsid w:val="009E18DA"/>
    <w:rsid w:val="009E7243"/>
    <w:rsid w:val="009E7CE5"/>
    <w:rsid w:val="009F5339"/>
    <w:rsid w:val="00A02FEB"/>
    <w:rsid w:val="00A0352E"/>
    <w:rsid w:val="00A039D8"/>
    <w:rsid w:val="00A06C3C"/>
    <w:rsid w:val="00A1007C"/>
    <w:rsid w:val="00A234BC"/>
    <w:rsid w:val="00A354EF"/>
    <w:rsid w:val="00A54065"/>
    <w:rsid w:val="00A5419A"/>
    <w:rsid w:val="00A55B99"/>
    <w:rsid w:val="00A57A3E"/>
    <w:rsid w:val="00A61D09"/>
    <w:rsid w:val="00A62BD0"/>
    <w:rsid w:val="00A6314D"/>
    <w:rsid w:val="00A75F89"/>
    <w:rsid w:val="00A76C42"/>
    <w:rsid w:val="00A77080"/>
    <w:rsid w:val="00A771C1"/>
    <w:rsid w:val="00A85AFB"/>
    <w:rsid w:val="00A8756B"/>
    <w:rsid w:val="00A87BFB"/>
    <w:rsid w:val="00A92B54"/>
    <w:rsid w:val="00A957D6"/>
    <w:rsid w:val="00AA378D"/>
    <w:rsid w:val="00AA4F2C"/>
    <w:rsid w:val="00AB0088"/>
    <w:rsid w:val="00AB2B66"/>
    <w:rsid w:val="00AC2C22"/>
    <w:rsid w:val="00AC4B8F"/>
    <w:rsid w:val="00AC7B39"/>
    <w:rsid w:val="00AD1C06"/>
    <w:rsid w:val="00AD462C"/>
    <w:rsid w:val="00AE5210"/>
    <w:rsid w:val="00AF0740"/>
    <w:rsid w:val="00B06ADD"/>
    <w:rsid w:val="00B26BF6"/>
    <w:rsid w:val="00B3201E"/>
    <w:rsid w:val="00B36F2F"/>
    <w:rsid w:val="00B37EE8"/>
    <w:rsid w:val="00B433D9"/>
    <w:rsid w:val="00B51342"/>
    <w:rsid w:val="00B52FB4"/>
    <w:rsid w:val="00B566BB"/>
    <w:rsid w:val="00B64745"/>
    <w:rsid w:val="00B6708D"/>
    <w:rsid w:val="00B8081A"/>
    <w:rsid w:val="00B905FB"/>
    <w:rsid w:val="00B94F56"/>
    <w:rsid w:val="00BA0182"/>
    <w:rsid w:val="00BA56B9"/>
    <w:rsid w:val="00BB1601"/>
    <w:rsid w:val="00BB4CF8"/>
    <w:rsid w:val="00BB7DD8"/>
    <w:rsid w:val="00BB7F3C"/>
    <w:rsid w:val="00BC2978"/>
    <w:rsid w:val="00BC3183"/>
    <w:rsid w:val="00BC4D1F"/>
    <w:rsid w:val="00BC7B22"/>
    <w:rsid w:val="00BD1EF2"/>
    <w:rsid w:val="00BD3325"/>
    <w:rsid w:val="00BD6D9D"/>
    <w:rsid w:val="00BE12E7"/>
    <w:rsid w:val="00BE309D"/>
    <w:rsid w:val="00BE3DB0"/>
    <w:rsid w:val="00C048D7"/>
    <w:rsid w:val="00C12D74"/>
    <w:rsid w:val="00C153C8"/>
    <w:rsid w:val="00C21095"/>
    <w:rsid w:val="00C21C28"/>
    <w:rsid w:val="00C24824"/>
    <w:rsid w:val="00C2792B"/>
    <w:rsid w:val="00C3693F"/>
    <w:rsid w:val="00C37AF2"/>
    <w:rsid w:val="00C42DD6"/>
    <w:rsid w:val="00C4720C"/>
    <w:rsid w:val="00C52DAD"/>
    <w:rsid w:val="00C70E48"/>
    <w:rsid w:val="00C73A06"/>
    <w:rsid w:val="00C82683"/>
    <w:rsid w:val="00C86591"/>
    <w:rsid w:val="00C87AE5"/>
    <w:rsid w:val="00C9531F"/>
    <w:rsid w:val="00CA410A"/>
    <w:rsid w:val="00CA5321"/>
    <w:rsid w:val="00CB0F88"/>
    <w:rsid w:val="00CB3445"/>
    <w:rsid w:val="00CB52DE"/>
    <w:rsid w:val="00CC18B1"/>
    <w:rsid w:val="00CD2619"/>
    <w:rsid w:val="00CE0795"/>
    <w:rsid w:val="00CE40DF"/>
    <w:rsid w:val="00CE4100"/>
    <w:rsid w:val="00CF18C9"/>
    <w:rsid w:val="00CF6A29"/>
    <w:rsid w:val="00D0795B"/>
    <w:rsid w:val="00D14EA2"/>
    <w:rsid w:val="00D16106"/>
    <w:rsid w:val="00D22B21"/>
    <w:rsid w:val="00D25039"/>
    <w:rsid w:val="00D35B51"/>
    <w:rsid w:val="00D45F86"/>
    <w:rsid w:val="00D515B6"/>
    <w:rsid w:val="00D60D78"/>
    <w:rsid w:val="00D62601"/>
    <w:rsid w:val="00D73FEC"/>
    <w:rsid w:val="00D83656"/>
    <w:rsid w:val="00D96D0D"/>
    <w:rsid w:val="00D97AD5"/>
    <w:rsid w:val="00DB421F"/>
    <w:rsid w:val="00DC14A0"/>
    <w:rsid w:val="00DC3C59"/>
    <w:rsid w:val="00DC46F4"/>
    <w:rsid w:val="00DD2042"/>
    <w:rsid w:val="00DD56C8"/>
    <w:rsid w:val="00DE1331"/>
    <w:rsid w:val="00DE4DCE"/>
    <w:rsid w:val="00DF139D"/>
    <w:rsid w:val="00DF438E"/>
    <w:rsid w:val="00E00D22"/>
    <w:rsid w:val="00E1373B"/>
    <w:rsid w:val="00E139B6"/>
    <w:rsid w:val="00E1751E"/>
    <w:rsid w:val="00E24EF1"/>
    <w:rsid w:val="00E257C5"/>
    <w:rsid w:val="00E31119"/>
    <w:rsid w:val="00E37C1B"/>
    <w:rsid w:val="00E37FAB"/>
    <w:rsid w:val="00E43585"/>
    <w:rsid w:val="00E541D8"/>
    <w:rsid w:val="00E64C21"/>
    <w:rsid w:val="00E657EB"/>
    <w:rsid w:val="00E6617F"/>
    <w:rsid w:val="00E70CFC"/>
    <w:rsid w:val="00E7145F"/>
    <w:rsid w:val="00E73AB3"/>
    <w:rsid w:val="00E73CA8"/>
    <w:rsid w:val="00E77AAD"/>
    <w:rsid w:val="00E8238B"/>
    <w:rsid w:val="00E846B8"/>
    <w:rsid w:val="00E86C62"/>
    <w:rsid w:val="00EA1CE9"/>
    <w:rsid w:val="00EC3F5E"/>
    <w:rsid w:val="00EC3F6D"/>
    <w:rsid w:val="00ED1770"/>
    <w:rsid w:val="00EE0039"/>
    <w:rsid w:val="00EE0DE2"/>
    <w:rsid w:val="00EF176C"/>
    <w:rsid w:val="00EF5A59"/>
    <w:rsid w:val="00F11D6C"/>
    <w:rsid w:val="00F251FD"/>
    <w:rsid w:val="00F36FCB"/>
    <w:rsid w:val="00F47D41"/>
    <w:rsid w:val="00F66F9D"/>
    <w:rsid w:val="00F73E2F"/>
    <w:rsid w:val="00F75611"/>
    <w:rsid w:val="00F76441"/>
    <w:rsid w:val="00F8211E"/>
    <w:rsid w:val="00F908DE"/>
    <w:rsid w:val="00F918C9"/>
    <w:rsid w:val="00FA2096"/>
    <w:rsid w:val="00FA2FBE"/>
    <w:rsid w:val="00FA3FCE"/>
    <w:rsid w:val="00FC0BF6"/>
    <w:rsid w:val="00FC40EC"/>
    <w:rsid w:val="00FC5C0F"/>
    <w:rsid w:val="00FC62E6"/>
    <w:rsid w:val="00FC641A"/>
    <w:rsid w:val="00FE2366"/>
    <w:rsid w:val="00FE4D9D"/>
    <w:rsid w:val="00FE69DA"/>
    <w:rsid w:val="00FE7C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6BC63"/>
  <w15:chartTrackingRefBased/>
  <w15:docId w15:val="{2DC9DCD1-65A8-40FF-93B5-B1E2561E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D070F"/>
    <w:pPr>
      <w:widowControl w:val="0"/>
      <w:autoSpaceDE w:val="0"/>
      <w:autoSpaceDN w:val="0"/>
      <w:adjustRightInd w:val="0"/>
      <w:spacing w:after="0" w:line="240" w:lineRule="auto"/>
    </w:pPr>
    <w:rPr>
      <w:rFonts w:ascii="Times New Roman" w:hAnsi="Times New Roman"/>
      <w:sz w:val="24"/>
      <w:lang w:eastAsia="fr-FR"/>
    </w:rPr>
  </w:style>
  <w:style w:type="paragraph" w:styleId="Titre1">
    <w:name w:val="heading 1"/>
    <w:basedOn w:val="Normal"/>
    <w:next w:val="Normal"/>
    <w:link w:val="Titre1Car"/>
    <w:uiPriority w:val="9"/>
    <w:qFormat/>
    <w:rsid w:val="009E18DA"/>
    <w:pPr>
      <w:numPr>
        <w:numId w:val="17"/>
      </w:numPr>
      <w:kinsoku w:val="0"/>
      <w:overflowPunct w:val="0"/>
      <w:spacing w:before="120" w:after="120" w:line="360" w:lineRule="auto"/>
      <w:outlineLvl w:val="0"/>
    </w:pPr>
    <w:rPr>
      <w:rFonts w:ascii="Cambria" w:eastAsiaTheme="majorEastAsia" w:hAnsi="Cambria" w:cstheme="majorBidi"/>
      <w:b/>
      <w:bCs/>
      <w:color w:val="C80000"/>
      <w:sz w:val="26"/>
      <w:szCs w:val="26"/>
    </w:rPr>
  </w:style>
  <w:style w:type="paragraph" w:styleId="Titre2">
    <w:name w:val="heading 2"/>
    <w:basedOn w:val="Normal"/>
    <w:next w:val="Normal"/>
    <w:link w:val="Titre2Car"/>
    <w:uiPriority w:val="9"/>
    <w:unhideWhenUsed/>
    <w:qFormat/>
    <w:rsid w:val="009E18DA"/>
    <w:pPr>
      <w:keepNext/>
      <w:numPr>
        <w:ilvl w:val="1"/>
        <w:numId w:val="17"/>
      </w:numPr>
      <w:spacing w:before="360" w:after="240"/>
      <w:ind w:right="113"/>
      <w:outlineLvl w:val="1"/>
    </w:pPr>
    <w:rPr>
      <w:rFonts w:ascii="Cambria" w:eastAsiaTheme="majorEastAsia" w:hAnsi="Cambria" w:cstheme="majorBidi"/>
      <w:b/>
      <w:bCs/>
      <w:color w:val="002060"/>
      <w:spacing w:val="1"/>
      <w:w w:val="105"/>
      <w:szCs w:val="24"/>
    </w:rPr>
  </w:style>
  <w:style w:type="paragraph" w:styleId="Titre3">
    <w:name w:val="heading 3"/>
    <w:basedOn w:val="Titre1"/>
    <w:next w:val="Corpsdetexte"/>
    <w:link w:val="Titre3Car"/>
    <w:uiPriority w:val="9"/>
    <w:unhideWhenUsed/>
    <w:qFormat/>
    <w:rsid w:val="00B51342"/>
    <w:pPr>
      <w:numPr>
        <w:ilvl w:val="2"/>
      </w:numPr>
      <w:outlineLvl w:val="2"/>
    </w:pPr>
    <w:rPr>
      <w:color w:val="385623" w:themeColor="accent6" w:themeShade="80"/>
      <w:sz w:val="24"/>
      <w:szCs w:val="24"/>
    </w:rPr>
  </w:style>
  <w:style w:type="paragraph" w:styleId="Titre4">
    <w:name w:val="heading 4"/>
    <w:basedOn w:val="Normal"/>
    <w:next w:val="Normal"/>
    <w:link w:val="Titre4Car"/>
    <w:uiPriority w:val="9"/>
    <w:unhideWhenUsed/>
    <w:qFormat/>
    <w:rsid w:val="008656C5"/>
    <w:pPr>
      <w:keepNext/>
      <w:keepLines/>
      <w:numPr>
        <w:ilvl w:val="3"/>
        <w:numId w:val="17"/>
      </w:numPr>
      <w:spacing w:before="240" w:after="120" w:line="360" w:lineRule="auto"/>
      <w:outlineLvl w:val="3"/>
    </w:pPr>
    <w:rPr>
      <w:rFonts w:ascii="Cambria" w:eastAsiaTheme="majorEastAsia" w:hAnsi="Cambria" w:cstheme="majorBidi"/>
      <w:b/>
      <w:bCs/>
      <w:iCs/>
      <w:color w:val="C45911" w:themeColor="accent2" w:themeShade="BF"/>
      <w:szCs w:val="24"/>
    </w:rPr>
  </w:style>
  <w:style w:type="paragraph" w:styleId="Titre5">
    <w:name w:val="heading 5"/>
    <w:basedOn w:val="Paragraphedeliste"/>
    <w:next w:val="Normal"/>
    <w:link w:val="Titre5Car"/>
    <w:uiPriority w:val="9"/>
    <w:unhideWhenUsed/>
    <w:qFormat/>
    <w:rsid w:val="00042215"/>
    <w:pPr>
      <w:numPr>
        <w:numId w:val="25"/>
      </w:numPr>
      <w:spacing w:before="240" w:after="180" w:line="240" w:lineRule="auto"/>
      <w:ind w:left="1134" w:hanging="283"/>
      <w:jc w:val="left"/>
      <w:outlineLvl w:val="4"/>
    </w:pPr>
    <w:rPr>
      <w:rFonts w:ascii="Cambria" w:hAnsi="Cambria"/>
      <w:b/>
      <w:bCs/>
      <w:color w:val="FF0066"/>
    </w:rPr>
  </w:style>
  <w:style w:type="paragraph" w:styleId="Titre6">
    <w:name w:val="heading 6"/>
    <w:basedOn w:val="Normal"/>
    <w:next w:val="Normal"/>
    <w:link w:val="Titre6Car"/>
    <w:uiPriority w:val="9"/>
    <w:unhideWhenUsed/>
    <w:qFormat/>
    <w:rsid w:val="00CA410A"/>
    <w:pPr>
      <w:spacing w:before="480" w:line="360" w:lineRule="auto"/>
      <w:outlineLvl w:val="5"/>
    </w:pPr>
    <w:rPr>
      <w:rFonts w:ascii="Cambria" w:hAnsi="Cambria"/>
      <w:i/>
      <w:iCs/>
      <w:color w:val="7030A0"/>
    </w:rPr>
  </w:style>
  <w:style w:type="paragraph" w:styleId="Titre7">
    <w:name w:val="heading 7"/>
    <w:basedOn w:val="Normal"/>
    <w:next w:val="Normal"/>
    <w:link w:val="Titre7Car"/>
    <w:uiPriority w:val="9"/>
    <w:unhideWhenUsed/>
    <w:qFormat/>
    <w:rsid w:val="00CA410A"/>
    <w:pPr>
      <w:keepNext/>
      <w:keepLines/>
      <w:spacing w:before="360" w:after="60"/>
      <w:outlineLvl w:val="6"/>
    </w:pPr>
    <w:rPr>
      <w:rFonts w:asciiTheme="majorHAnsi" w:eastAsiaTheme="majorEastAsia" w:hAnsiTheme="majorHAnsi" w:cstheme="majorBidi"/>
      <w:b/>
      <w:bCs/>
      <w:iCs/>
      <w:color w:val="C00000"/>
    </w:rPr>
  </w:style>
  <w:style w:type="paragraph" w:styleId="Titre8">
    <w:name w:val="heading 8"/>
    <w:basedOn w:val="Normal"/>
    <w:next w:val="Normal"/>
    <w:link w:val="Titre8Car"/>
    <w:uiPriority w:val="9"/>
    <w:unhideWhenUsed/>
    <w:qFormat/>
    <w:rsid w:val="00AC2C22"/>
    <w:pPr>
      <w:keepNext/>
      <w:keepLines/>
      <w:spacing w:before="240" w:after="240"/>
      <w:outlineLvl w:val="7"/>
    </w:pPr>
    <w:rPr>
      <w:rFonts w:ascii="Cambria" w:eastAsiaTheme="majorEastAsia" w:hAnsi="Cambria" w:cstheme="majorBidi"/>
      <w:b/>
      <w:color w:val="722282"/>
      <w:szCs w:val="24"/>
    </w:rPr>
  </w:style>
  <w:style w:type="paragraph" w:styleId="Titre9">
    <w:name w:val="heading 9"/>
    <w:basedOn w:val="Normal"/>
    <w:next w:val="Normal"/>
    <w:link w:val="Titre9Car"/>
    <w:uiPriority w:val="9"/>
    <w:unhideWhenUsed/>
    <w:qFormat/>
    <w:rsid w:val="004C5686"/>
    <w:pPr>
      <w:keepNext/>
      <w:keepLines/>
      <w:spacing w:before="240" w:after="240"/>
      <w:outlineLvl w:val="8"/>
    </w:pPr>
    <w:rPr>
      <w:rFonts w:ascii="Cambria" w:eastAsiaTheme="majorEastAsia" w:hAnsi="Cambria" w:cstheme="majorBidi"/>
      <w:b/>
      <w:bCs/>
      <w:i/>
      <w:iCs/>
      <w:color w:val="272727" w:themeColor="text1" w:themeTint="D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18DA"/>
    <w:rPr>
      <w:rFonts w:ascii="Cambria" w:eastAsiaTheme="majorEastAsia" w:hAnsi="Cambria" w:cstheme="majorBidi"/>
      <w:b/>
      <w:bCs/>
      <w:color w:val="C80000"/>
      <w:sz w:val="26"/>
      <w:szCs w:val="26"/>
      <w:lang w:eastAsia="fr-FR"/>
    </w:rPr>
  </w:style>
  <w:style w:type="character" w:customStyle="1" w:styleId="Titre2Car">
    <w:name w:val="Titre 2 Car"/>
    <w:basedOn w:val="Policepardfaut"/>
    <w:link w:val="Titre2"/>
    <w:uiPriority w:val="9"/>
    <w:rsid w:val="009E18DA"/>
    <w:rPr>
      <w:rFonts w:ascii="Cambria" w:eastAsiaTheme="majorEastAsia" w:hAnsi="Cambria" w:cstheme="majorBidi"/>
      <w:b/>
      <w:bCs/>
      <w:color w:val="002060"/>
      <w:spacing w:val="1"/>
      <w:w w:val="105"/>
      <w:sz w:val="24"/>
      <w:szCs w:val="24"/>
      <w:lang w:eastAsia="fr-FR"/>
    </w:rPr>
  </w:style>
  <w:style w:type="paragraph" w:styleId="Corpsdetexte">
    <w:name w:val="Body Text"/>
    <w:basedOn w:val="Normal"/>
    <w:link w:val="CorpsdetexteCar"/>
    <w:uiPriority w:val="1"/>
    <w:unhideWhenUsed/>
    <w:qFormat/>
    <w:rsid w:val="008656C5"/>
    <w:pPr>
      <w:kinsoku w:val="0"/>
      <w:overflowPunct w:val="0"/>
      <w:spacing w:line="357" w:lineRule="auto"/>
      <w:ind w:left="-142"/>
      <w:jc w:val="both"/>
    </w:pPr>
    <w:rPr>
      <w:szCs w:val="24"/>
    </w:rPr>
  </w:style>
  <w:style w:type="character" w:customStyle="1" w:styleId="CorpsdetexteCar">
    <w:name w:val="Corps de texte Car"/>
    <w:basedOn w:val="Policepardfaut"/>
    <w:link w:val="Corpsdetexte"/>
    <w:uiPriority w:val="1"/>
    <w:rsid w:val="008656C5"/>
    <w:rPr>
      <w:rFonts w:ascii="Times New Roman" w:hAnsi="Times New Roman"/>
      <w:sz w:val="24"/>
      <w:szCs w:val="24"/>
      <w:lang w:eastAsia="fr-FR"/>
    </w:rPr>
  </w:style>
  <w:style w:type="character" w:customStyle="1" w:styleId="Titre3Car">
    <w:name w:val="Titre 3 Car"/>
    <w:basedOn w:val="Policepardfaut"/>
    <w:link w:val="Titre3"/>
    <w:uiPriority w:val="9"/>
    <w:rsid w:val="00B51342"/>
    <w:rPr>
      <w:rFonts w:ascii="Cambria" w:eastAsiaTheme="majorEastAsia" w:hAnsi="Cambria" w:cstheme="majorBidi"/>
      <w:b/>
      <w:bCs/>
      <w:color w:val="385623" w:themeColor="accent6" w:themeShade="80"/>
      <w:sz w:val="24"/>
      <w:szCs w:val="24"/>
      <w:lang w:eastAsia="fr-FR"/>
    </w:rPr>
  </w:style>
  <w:style w:type="character" w:customStyle="1" w:styleId="Titre4Car">
    <w:name w:val="Titre 4 Car"/>
    <w:basedOn w:val="Policepardfaut"/>
    <w:link w:val="Titre4"/>
    <w:uiPriority w:val="9"/>
    <w:rsid w:val="008656C5"/>
    <w:rPr>
      <w:rFonts w:ascii="Cambria" w:eastAsiaTheme="majorEastAsia" w:hAnsi="Cambria" w:cstheme="majorBidi"/>
      <w:b/>
      <w:bCs/>
      <w:iCs/>
      <w:color w:val="C45911" w:themeColor="accent2" w:themeShade="BF"/>
      <w:sz w:val="24"/>
      <w:szCs w:val="24"/>
      <w:lang w:eastAsia="fr-FR"/>
    </w:rPr>
  </w:style>
  <w:style w:type="paragraph" w:styleId="Paragraphedeliste">
    <w:name w:val="List Paragraph"/>
    <w:basedOn w:val="Normal"/>
    <w:link w:val="ParagraphedelisteCar"/>
    <w:uiPriority w:val="1"/>
    <w:qFormat/>
    <w:rsid w:val="00BC3183"/>
    <w:pPr>
      <w:numPr>
        <w:numId w:val="3"/>
      </w:numPr>
      <w:adjustRightInd/>
      <w:spacing w:before="2" w:line="360" w:lineRule="auto"/>
      <w:ind w:left="-142" w:hanging="142"/>
      <w:jc w:val="both"/>
    </w:pPr>
    <w:rPr>
      <w:szCs w:val="24"/>
      <w:lang w:eastAsia="en-US"/>
    </w:rPr>
  </w:style>
  <w:style w:type="character" w:customStyle="1" w:styleId="ParagraphedelisteCar">
    <w:name w:val="Paragraphe de liste Car"/>
    <w:link w:val="Paragraphedeliste"/>
    <w:uiPriority w:val="1"/>
    <w:locked/>
    <w:rsid w:val="007907C1"/>
    <w:rPr>
      <w:rFonts w:ascii="Times New Roman" w:hAnsi="Times New Roman"/>
      <w:sz w:val="24"/>
      <w:szCs w:val="24"/>
    </w:rPr>
  </w:style>
  <w:style w:type="character" w:customStyle="1" w:styleId="Titre5Car">
    <w:name w:val="Titre 5 Car"/>
    <w:basedOn w:val="Policepardfaut"/>
    <w:link w:val="Titre5"/>
    <w:uiPriority w:val="9"/>
    <w:rsid w:val="00042215"/>
    <w:rPr>
      <w:rFonts w:ascii="Cambria" w:hAnsi="Cambria"/>
      <w:b/>
      <w:bCs/>
      <w:color w:val="FF0066"/>
      <w:sz w:val="24"/>
      <w:szCs w:val="24"/>
    </w:rPr>
  </w:style>
  <w:style w:type="character" w:customStyle="1" w:styleId="Titre6Car">
    <w:name w:val="Titre 6 Car"/>
    <w:basedOn w:val="Policepardfaut"/>
    <w:link w:val="Titre6"/>
    <w:uiPriority w:val="9"/>
    <w:rsid w:val="00CA410A"/>
    <w:rPr>
      <w:rFonts w:ascii="Cambria" w:hAnsi="Cambria"/>
      <w:i/>
      <w:iCs/>
      <w:color w:val="7030A0"/>
      <w:sz w:val="24"/>
      <w:lang w:eastAsia="fr-FR"/>
    </w:rPr>
  </w:style>
  <w:style w:type="character" w:customStyle="1" w:styleId="Titre7Car">
    <w:name w:val="Titre 7 Car"/>
    <w:basedOn w:val="Policepardfaut"/>
    <w:link w:val="Titre7"/>
    <w:uiPriority w:val="9"/>
    <w:rsid w:val="00CA410A"/>
    <w:rPr>
      <w:rFonts w:asciiTheme="majorHAnsi" w:eastAsiaTheme="majorEastAsia" w:hAnsiTheme="majorHAnsi" w:cstheme="majorBidi"/>
      <w:b/>
      <w:bCs/>
      <w:iCs/>
      <w:color w:val="C00000"/>
      <w:sz w:val="24"/>
      <w:lang w:eastAsia="fr-FR"/>
    </w:rPr>
  </w:style>
  <w:style w:type="character" w:customStyle="1" w:styleId="Titre8Car">
    <w:name w:val="Titre 8 Car"/>
    <w:basedOn w:val="Policepardfaut"/>
    <w:link w:val="Titre8"/>
    <w:uiPriority w:val="9"/>
    <w:rsid w:val="00AC2C22"/>
    <w:rPr>
      <w:rFonts w:ascii="Cambria" w:eastAsiaTheme="majorEastAsia" w:hAnsi="Cambria" w:cstheme="majorBidi"/>
      <w:b/>
      <w:color w:val="722282"/>
      <w:sz w:val="24"/>
      <w:szCs w:val="24"/>
      <w:lang w:eastAsia="fr-FR"/>
    </w:rPr>
  </w:style>
  <w:style w:type="character" w:customStyle="1" w:styleId="Titre9Car">
    <w:name w:val="Titre 9 Car"/>
    <w:basedOn w:val="Policepardfaut"/>
    <w:link w:val="Titre9"/>
    <w:uiPriority w:val="9"/>
    <w:rsid w:val="004C5686"/>
    <w:rPr>
      <w:rFonts w:ascii="Cambria" w:eastAsiaTheme="majorEastAsia" w:hAnsi="Cambria" w:cstheme="majorBidi"/>
      <w:b/>
      <w:bCs/>
      <w:i/>
      <w:iCs/>
      <w:color w:val="272727" w:themeColor="text1" w:themeTint="D8"/>
      <w:sz w:val="24"/>
      <w:szCs w:val="24"/>
      <w:lang w:eastAsia="fr-FR"/>
    </w:rPr>
  </w:style>
  <w:style w:type="paragraph" w:styleId="Titre">
    <w:name w:val="Title"/>
    <w:basedOn w:val="Normal"/>
    <w:next w:val="Normal"/>
    <w:link w:val="TitreCar"/>
    <w:uiPriority w:val="10"/>
    <w:qFormat/>
    <w:rsid w:val="00385235"/>
    <w:pPr>
      <w:spacing w:before="247"/>
      <w:ind w:right="31"/>
      <w:jc w:val="center"/>
    </w:pPr>
    <w:rPr>
      <w:rFonts w:eastAsiaTheme="majorEastAsia" w:cstheme="majorBidi"/>
      <w:b/>
      <w:bCs/>
      <w:color w:val="C00000"/>
      <w:sz w:val="55"/>
      <w:szCs w:val="55"/>
    </w:rPr>
  </w:style>
  <w:style w:type="character" w:customStyle="1" w:styleId="TitreCar">
    <w:name w:val="Titre Car"/>
    <w:basedOn w:val="Policepardfaut"/>
    <w:link w:val="Titre"/>
    <w:uiPriority w:val="10"/>
    <w:rsid w:val="00385235"/>
    <w:rPr>
      <w:rFonts w:ascii="Times New Roman" w:eastAsiaTheme="majorEastAsia" w:hAnsi="Times New Roman" w:cstheme="majorBidi"/>
      <w:b/>
      <w:bCs/>
      <w:color w:val="C00000"/>
      <w:sz w:val="55"/>
      <w:szCs w:val="55"/>
      <w:lang w:eastAsia="fr-FR"/>
    </w:rPr>
  </w:style>
  <w:style w:type="paragraph" w:styleId="Sous-titre">
    <w:name w:val="Subtitle"/>
    <w:basedOn w:val="Normal"/>
    <w:next w:val="Normal"/>
    <w:link w:val="Sous-titreCar"/>
    <w:uiPriority w:val="11"/>
    <w:qFormat/>
    <w:rsid w:val="00385235"/>
    <w:pPr>
      <w:spacing w:before="100" w:beforeAutospacing="1" w:after="100" w:afterAutospacing="1"/>
      <w:jc w:val="center"/>
      <w:outlineLvl w:val="1"/>
    </w:pPr>
    <w:rPr>
      <w:b/>
      <w:bCs/>
      <w:sz w:val="26"/>
      <w:szCs w:val="26"/>
      <w:u w:val="single"/>
    </w:rPr>
  </w:style>
  <w:style w:type="character" w:customStyle="1" w:styleId="Sous-titreCar">
    <w:name w:val="Sous-titre Car"/>
    <w:basedOn w:val="Policepardfaut"/>
    <w:link w:val="Sous-titre"/>
    <w:uiPriority w:val="11"/>
    <w:rsid w:val="00385235"/>
    <w:rPr>
      <w:rFonts w:ascii="Times New Roman" w:hAnsi="Times New Roman"/>
      <w:b/>
      <w:bCs/>
      <w:sz w:val="26"/>
      <w:szCs w:val="26"/>
      <w:u w:val="single"/>
      <w:lang w:eastAsia="fr-FR"/>
    </w:rPr>
  </w:style>
  <w:style w:type="paragraph" w:customStyle="1" w:styleId="TableParagraph">
    <w:name w:val="Table Paragraph"/>
    <w:basedOn w:val="Normal"/>
    <w:uiPriority w:val="1"/>
    <w:qFormat/>
    <w:rsid w:val="00306C4F"/>
    <w:pPr>
      <w:spacing w:line="273" w:lineRule="exact"/>
      <w:ind w:left="113"/>
    </w:pPr>
    <w:rPr>
      <w:rFonts w:ascii="Cambria" w:hAnsi="Cambria"/>
      <w:szCs w:val="24"/>
    </w:rPr>
  </w:style>
  <w:style w:type="character" w:customStyle="1" w:styleId="bodystrongChar">
    <w:name w:val="body strong Char"/>
    <w:link w:val="bodystrong"/>
    <w:uiPriority w:val="3"/>
    <w:locked/>
    <w:rsid w:val="007907C1"/>
    <w:rPr>
      <w:rFonts w:ascii="Times New Roman" w:hAnsi="Times New Roman"/>
      <w:b/>
      <w:bCs/>
      <w:i/>
      <w:iCs/>
      <w:sz w:val="24"/>
      <w:szCs w:val="24"/>
    </w:rPr>
  </w:style>
  <w:style w:type="paragraph" w:customStyle="1" w:styleId="bodystrong">
    <w:name w:val="body strong"/>
    <w:basedOn w:val="Corpsdetexte"/>
    <w:link w:val="bodystrongChar"/>
    <w:uiPriority w:val="3"/>
    <w:qFormat/>
    <w:rsid w:val="00915EA3"/>
    <w:rPr>
      <w:b/>
      <w:bCs/>
      <w:i/>
      <w:iCs/>
      <w:lang w:eastAsia="en-US"/>
    </w:rPr>
  </w:style>
  <w:style w:type="character" w:customStyle="1" w:styleId="listeniv2Char">
    <w:name w:val="liste niv 2 Char"/>
    <w:link w:val="listeniv2"/>
    <w:uiPriority w:val="1"/>
    <w:locked/>
    <w:rsid w:val="002A333C"/>
    <w:rPr>
      <w:rFonts w:ascii="Times New Roman" w:hAnsi="Times New Roman"/>
      <w:sz w:val="24"/>
      <w:szCs w:val="24"/>
    </w:rPr>
  </w:style>
  <w:style w:type="paragraph" w:customStyle="1" w:styleId="listeniv2">
    <w:name w:val="liste niv 2"/>
    <w:basedOn w:val="Paragraphedeliste"/>
    <w:link w:val="listeniv2Char"/>
    <w:uiPriority w:val="1"/>
    <w:qFormat/>
    <w:rsid w:val="002A333C"/>
    <w:pPr>
      <w:numPr>
        <w:ilvl w:val="2"/>
        <w:numId w:val="10"/>
      </w:numPr>
      <w:spacing w:before="0"/>
      <w:ind w:left="284"/>
    </w:pPr>
  </w:style>
  <w:style w:type="paragraph" w:styleId="En-tte">
    <w:name w:val="header"/>
    <w:basedOn w:val="Normal"/>
    <w:link w:val="En-tteCar"/>
    <w:uiPriority w:val="99"/>
    <w:unhideWhenUsed/>
    <w:rsid w:val="004F6EA4"/>
    <w:pPr>
      <w:tabs>
        <w:tab w:val="center" w:pos="4536"/>
        <w:tab w:val="right" w:pos="9072"/>
      </w:tabs>
    </w:pPr>
    <w:rPr>
      <w:rFonts w:ascii="Cambria" w:hAnsi="Cambria"/>
      <w:color w:val="7F7F7F" w:themeColor="text1" w:themeTint="80"/>
    </w:rPr>
  </w:style>
  <w:style w:type="character" w:customStyle="1" w:styleId="En-tteCar">
    <w:name w:val="En-tête Car"/>
    <w:basedOn w:val="Policepardfaut"/>
    <w:link w:val="En-tte"/>
    <w:uiPriority w:val="99"/>
    <w:rsid w:val="004F6EA4"/>
    <w:rPr>
      <w:rFonts w:ascii="Cambria" w:eastAsia="Times New Roman" w:hAnsi="Cambria" w:cs="Times New Roman"/>
      <w:color w:val="7F7F7F" w:themeColor="text1" w:themeTint="80"/>
      <w:lang w:eastAsia="fr-FR"/>
    </w:rPr>
  </w:style>
  <w:style w:type="paragraph" w:customStyle="1" w:styleId="niv2">
    <w:name w:val="niv 2"/>
    <w:basedOn w:val="listeniv2car"/>
    <w:link w:val="niv2Char"/>
    <w:uiPriority w:val="1"/>
    <w:qFormat/>
    <w:rsid w:val="009675AC"/>
    <w:pPr>
      <w:numPr>
        <w:ilvl w:val="0"/>
        <w:numId w:val="11"/>
      </w:numPr>
      <w:ind w:left="851"/>
    </w:pPr>
  </w:style>
  <w:style w:type="paragraph" w:customStyle="1" w:styleId="listeniv2car">
    <w:name w:val="liste niv2 car"/>
    <w:basedOn w:val="listeniv2"/>
    <w:link w:val="listeniv2carChar"/>
    <w:uiPriority w:val="1"/>
    <w:qFormat/>
    <w:rsid w:val="00E37C1B"/>
    <w:pPr>
      <w:numPr>
        <w:numId w:val="6"/>
      </w:numPr>
      <w:ind w:left="426"/>
    </w:pPr>
  </w:style>
  <w:style w:type="character" w:customStyle="1" w:styleId="listeniv2carChar">
    <w:name w:val="liste niv2 car Char"/>
    <w:basedOn w:val="listeniv2Char"/>
    <w:link w:val="listeniv2car"/>
    <w:uiPriority w:val="1"/>
    <w:rsid w:val="00E37C1B"/>
    <w:rPr>
      <w:rFonts w:ascii="Times New Roman" w:hAnsi="Times New Roman"/>
      <w:sz w:val="24"/>
      <w:szCs w:val="24"/>
    </w:rPr>
  </w:style>
  <w:style w:type="character" w:customStyle="1" w:styleId="niv2Char">
    <w:name w:val="niv 2 Char"/>
    <w:basedOn w:val="listeniv2carChar"/>
    <w:link w:val="niv2"/>
    <w:uiPriority w:val="1"/>
    <w:rsid w:val="009675AC"/>
    <w:rPr>
      <w:rFonts w:ascii="Times New Roman" w:hAnsi="Times New Roman"/>
      <w:sz w:val="24"/>
      <w:szCs w:val="24"/>
    </w:rPr>
  </w:style>
  <w:style w:type="paragraph" w:customStyle="1" w:styleId="noterbien">
    <w:name w:val="noter bien"/>
    <w:basedOn w:val="Paragraphedeliste"/>
    <w:link w:val="noterbienChar"/>
    <w:uiPriority w:val="1"/>
    <w:qFormat/>
    <w:rsid w:val="008E6543"/>
    <w:pPr>
      <w:numPr>
        <w:numId w:val="8"/>
      </w:numPr>
      <w:ind w:left="284" w:hanging="284"/>
    </w:pPr>
  </w:style>
  <w:style w:type="character" w:customStyle="1" w:styleId="noterbienChar">
    <w:name w:val="noter bien Char"/>
    <w:basedOn w:val="ParagraphedelisteCar"/>
    <w:link w:val="noterbien"/>
    <w:uiPriority w:val="1"/>
    <w:rsid w:val="008E6543"/>
    <w:rPr>
      <w:rFonts w:ascii="Times New Roman" w:hAnsi="Times New Roman"/>
      <w:sz w:val="24"/>
      <w:szCs w:val="24"/>
    </w:rPr>
  </w:style>
  <w:style w:type="character" w:styleId="lev">
    <w:name w:val="Strong"/>
    <w:basedOn w:val="Policepardfaut"/>
    <w:uiPriority w:val="22"/>
    <w:qFormat/>
    <w:rsid w:val="00385235"/>
    <w:rPr>
      <w:b/>
      <w:bCs/>
    </w:rPr>
  </w:style>
  <w:style w:type="character" w:styleId="Accentuation">
    <w:name w:val="Emphasis"/>
    <w:basedOn w:val="Policepardfaut"/>
    <w:uiPriority w:val="20"/>
    <w:qFormat/>
    <w:rsid w:val="00520368"/>
    <w:rPr>
      <w:color w:val="002060"/>
    </w:rPr>
  </w:style>
  <w:style w:type="paragraph" w:styleId="Sansinterligne">
    <w:name w:val="No Spacing"/>
    <w:uiPriority w:val="1"/>
    <w:qFormat/>
    <w:rsid w:val="00385235"/>
    <w:pPr>
      <w:widowControl w:val="0"/>
      <w:autoSpaceDE w:val="0"/>
      <w:autoSpaceDN w:val="0"/>
      <w:adjustRightInd w:val="0"/>
      <w:spacing w:after="0" w:line="240" w:lineRule="auto"/>
    </w:pPr>
    <w:rPr>
      <w:rFonts w:ascii="Times New Roman" w:hAnsi="Times New Roman"/>
      <w:lang w:eastAsia="fr-FR"/>
    </w:rPr>
  </w:style>
  <w:style w:type="paragraph" w:styleId="Citation">
    <w:name w:val="Quote"/>
    <w:basedOn w:val="Normal"/>
    <w:next w:val="Normal"/>
    <w:link w:val="CitationCar"/>
    <w:uiPriority w:val="29"/>
    <w:qFormat/>
    <w:rsid w:val="00385235"/>
    <w:pPr>
      <w:spacing w:before="200" w:after="160"/>
      <w:ind w:left="864" w:right="864"/>
      <w:jc w:val="center"/>
    </w:pPr>
    <w:rPr>
      <w:i/>
      <w:iCs/>
      <w:color w:val="404040" w:themeColor="text1" w:themeTint="BF"/>
      <w:sz w:val="22"/>
    </w:rPr>
  </w:style>
  <w:style w:type="character" w:customStyle="1" w:styleId="CitationCar">
    <w:name w:val="Citation Car"/>
    <w:basedOn w:val="Policepardfaut"/>
    <w:link w:val="Citation"/>
    <w:uiPriority w:val="29"/>
    <w:rsid w:val="00385235"/>
    <w:rPr>
      <w:rFonts w:ascii="Times New Roman" w:hAnsi="Times New Roman"/>
      <w:i/>
      <w:iCs/>
      <w:color w:val="404040" w:themeColor="text1" w:themeTint="BF"/>
      <w:lang w:eastAsia="fr-FR"/>
    </w:rPr>
  </w:style>
  <w:style w:type="paragraph" w:styleId="Citationintense">
    <w:name w:val="Intense Quote"/>
    <w:aliases w:val="shema name"/>
    <w:basedOn w:val="Normal"/>
    <w:next w:val="Normal"/>
    <w:link w:val="CitationintenseCar"/>
    <w:uiPriority w:val="30"/>
    <w:rsid w:val="001B746E"/>
    <w:pPr>
      <w:pBdr>
        <w:top w:val="single" w:sz="24" w:space="1" w:color="F2F2F2" w:themeColor="background1" w:themeShade="F2"/>
        <w:bottom w:val="single" w:sz="24" w:space="1" w:color="F2F2F2" w:themeColor="background1" w:themeShade="F2"/>
      </w:pBdr>
      <w:shd w:val="clear" w:color="auto" w:fill="F2F2F2" w:themeFill="background1" w:themeFillShade="F2"/>
      <w:spacing w:before="20" w:after="80"/>
      <w:ind w:left="936" w:right="936"/>
      <w:jc w:val="center"/>
    </w:pPr>
    <w:rPr>
      <w:color w:val="000000" w:themeColor="text1"/>
    </w:rPr>
  </w:style>
  <w:style w:type="character" w:customStyle="1" w:styleId="CitationintenseCar">
    <w:name w:val="Citation intense Car"/>
    <w:aliases w:val="shema name Car"/>
    <w:basedOn w:val="Policepardfaut"/>
    <w:link w:val="Citationintense"/>
    <w:uiPriority w:val="30"/>
    <w:rsid w:val="001B746E"/>
    <w:rPr>
      <w:rFonts w:ascii="Times New Roman" w:hAnsi="Times New Roman"/>
      <w:color w:val="000000" w:themeColor="text1"/>
      <w:sz w:val="24"/>
      <w:shd w:val="clear" w:color="auto" w:fill="F2F2F2" w:themeFill="background1" w:themeFillShade="F2"/>
      <w:lang w:eastAsia="fr-FR"/>
    </w:rPr>
  </w:style>
  <w:style w:type="character" w:styleId="Accentuationlgre">
    <w:name w:val="Subtle Emphasis"/>
    <w:basedOn w:val="Policepardfaut"/>
    <w:uiPriority w:val="19"/>
    <w:qFormat/>
    <w:rsid w:val="00385235"/>
    <w:rPr>
      <w:i/>
      <w:iCs/>
      <w:color w:val="404040" w:themeColor="text1" w:themeTint="BF"/>
    </w:rPr>
  </w:style>
  <w:style w:type="character" w:styleId="Rfrencelgre">
    <w:name w:val="Subtle Reference"/>
    <w:basedOn w:val="Policepardfaut"/>
    <w:uiPriority w:val="31"/>
    <w:qFormat/>
    <w:rsid w:val="00385235"/>
    <w:rPr>
      <w:smallCaps/>
      <w:color w:val="5A5A5A" w:themeColor="text1" w:themeTint="A5"/>
    </w:rPr>
  </w:style>
  <w:style w:type="paragraph" w:customStyle="1" w:styleId="listey">
    <w:name w:val="liste y"/>
    <w:basedOn w:val="listex"/>
    <w:link w:val="listeyChar"/>
    <w:uiPriority w:val="1"/>
    <w:qFormat/>
    <w:rsid w:val="00273144"/>
    <w:pPr>
      <w:numPr>
        <w:ilvl w:val="0"/>
        <w:numId w:val="12"/>
      </w:numPr>
      <w:ind w:left="1134"/>
    </w:pPr>
    <w:rPr>
      <w:color w:val="FF0000"/>
    </w:rPr>
  </w:style>
  <w:style w:type="paragraph" w:customStyle="1" w:styleId="listex">
    <w:name w:val="liste x"/>
    <w:basedOn w:val="listeniv2car"/>
    <w:link w:val="listexChar"/>
    <w:uiPriority w:val="1"/>
    <w:qFormat/>
    <w:rsid w:val="00A87BFB"/>
    <w:pPr>
      <w:numPr>
        <w:ilvl w:val="1"/>
        <w:numId w:val="7"/>
      </w:numPr>
      <w:spacing w:before="120" w:after="60"/>
      <w:ind w:left="284"/>
    </w:pPr>
    <w:rPr>
      <w:b/>
      <w:bCs/>
      <w:color w:val="FF0066"/>
    </w:rPr>
  </w:style>
  <w:style w:type="character" w:customStyle="1" w:styleId="listexChar">
    <w:name w:val="liste x Char"/>
    <w:basedOn w:val="listeniv2carChar"/>
    <w:link w:val="listex"/>
    <w:uiPriority w:val="1"/>
    <w:rsid w:val="00A87BFB"/>
    <w:rPr>
      <w:rFonts w:ascii="Times New Roman" w:hAnsi="Times New Roman"/>
      <w:b/>
      <w:bCs/>
      <w:color w:val="FF0066"/>
      <w:sz w:val="24"/>
      <w:szCs w:val="24"/>
    </w:rPr>
  </w:style>
  <w:style w:type="character" w:customStyle="1" w:styleId="listeyChar">
    <w:name w:val="liste y Char"/>
    <w:basedOn w:val="listexChar"/>
    <w:link w:val="listey"/>
    <w:uiPriority w:val="1"/>
    <w:rsid w:val="00273144"/>
    <w:rPr>
      <w:rFonts w:ascii="Times New Roman" w:hAnsi="Times New Roman"/>
      <w:b/>
      <w:bCs/>
      <w:color w:val="FF0000"/>
      <w:sz w:val="24"/>
      <w:szCs w:val="24"/>
    </w:rPr>
  </w:style>
  <w:style w:type="character" w:styleId="Titredulivre">
    <w:name w:val="Book Title"/>
    <w:basedOn w:val="Policepardfaut"/>
    <w:uiPriority w:val="33"/>
    <w:semiHidden/>
    <w:rsid w:val="00385235"/>
    <w:rPr>
      <w:b/>
      <w:bCs/>
      <w:i/>
      <w:iCs/>
      <w:spacing w:val="5"/>
    </w:rPr>
  </w:style>
  <w:style w:type="paragraph" w:styleId="En-ttedetabledesmatires">
    <w:name w:val="TOC Heading"/>
    <w:basedOn w:val="Titre1"/>
    <w:next w:val="Normal"/>
    <w:uiPriority w:val="39"/>
    <w:semiHidden/>
    <w:unhideWhenUsed/>
    <w:qFormat/>
    <w:rsid w:val="00385235"/>
    <w:pPr>
      <w:keepNext/>
      <w:keepLines/>
      <w:kinsoku/>
      <w:overflowPunct/>
      <w:spacing w:after="0"/>
      <w:ind w:hanging="148"/>
      <w:outlineLvl w:val="9"/>
    </w:pPr>
    <w:rPr>
      <w:rFonts w:asciiTheme="majorHAnsi" w:hAnsiTheme="majorHAnsi"/>
      <w:b w:val="0"/>
      <w:bCs w:val="0"/>
      <w:color w:val="2F5496" w:themeColor="accent1" w:themeShade="BF"/>
      <w:sz w:val="32"/>
      <w:szCs w:val="32"/>
    </w:rPr>
  </w:style>
  <w:style w:type="paragraph" w:styleId="Lgende">
    <w:name w:val="caption"/>
    <w:basedOn w:val="Normal"/>
    <w:next w:val="Normal"/>
    <w:uiPriority w:val="35"/>
    <w:semiHidden/>
    <w:unhideWhenUsed/>
    <w:qFormat/>
    <w:rsid w:val="00385235"/>
    <w:pPr>
      <w:spacing w:after="200"/>
    </w:pPr>
    <w:rPr>
      <w:i/>
      <w:iCs/>
      <w:color w:val="44546A" w:themeColor="text2"/>
      <w:sz w:val="18"/>
      <w:szCs w:val="18"/>
    </w:rPr>
  </w:style>
  <w:style w:type="table" w:styleId="Grilledetableauclaire">
    <w:name w:val="Grid Table Light"/>
    <w:basedOn w:val="TableauNormal"/>
    <w:uiPriority w:val="40"/>
    <w:rsid w:val="003473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347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gras">
    <w:name w:val="liste gras"/>
    <w:basedOn w:val="Paragraphedeliste"/>
    <w:link w:val="listegrasChar"/>
    <w:uiPriority w:val="1"/>
    <w:qFormat/>
    <w:rsid w:val="00385235"/>
    <w:pPr>
      <w:numPr>
        <w:numId w:val="0"/>
      </w:numPr>
      <w:spacing w:before="120"/>
      <w:ind w:left="360" w:hanging="360"/>
    </w:pPr>
    <w:rPr>
      <w:b/>
      <w:bCs/>
      <w:szCs w:val="32"/>
    </w:rPr>
  </w:style>
  <w:style w:type="character" w:customStyle="1" w:styleId="listegrasChar">
    <w:name w:val="liste gras Char"/>
    <w:basedOn w:val="ParagraphedelisteCar"/>
    <w:link w:val="listegras"/>
    <w:uiPriority w:val="1"/>
    <w:rsid w:val="00385235"/>
    <w:rPr>
      <w:rFonts w:ascii="Times New Roman" w:hAnsi="Times New Roman"/>
      <w:b/>
      <w:bCs/>
      <w:sz w:val="24"/>
      <w:szCs w:val="32"/>
    </w:rPr>
  </w:style>
  <w:style w:type="paragraph" w:customStyle="1" w:styleId="listeespace">
    <w:name w:val="liste espacée"/>
    <w:basedOn w:val="Paragraphedeliste"/>
    <w:link w:val="listeespaceChar"/>
    <w:qFormat/>
    <w:rsid w:val="00BC3183"/>
    <w:pPr>
      <w:numPr>
        <w:numId w:val="5"/>
      </w:numPr>
      <w:spacing w:before="120"/>
      <w:ind w:left="-142" w:hanging="142"/>
    </w:pPr>
  </w:style>
  <w:style w:type="character" w:customStyle="1" w:styleId="listeespaceChar">
    <w:name w:val="liste espacée Char"/>
    <w:basedOn w:val="ParagraphedelisteCar"/>
    <w:link w:val="listeespace"/>
    <w:rsid w:val="00BC3183"/>
    <w:rPr>
      <w:rFonts w:ascii="Times New Roman" w:hAnsi="Times New Roman"/>
      <w:sz w:val="24"/>
      <w:szCs w:val="24"/>
    </w:rPr>
  </w:style>
  <w:style w:type="table" w:styleId="TableauGrille1Clair">
    <w:name w:val="Grid Table 1 Light"/>
    <w:basedOn w:val="TableauNormal"/>
    <w:uiPriority w:val="46"/>
    <w:rsid w:val="006200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rbm">
    <w:name w:val="tab rbm"/>
    <w:basedOn w:val="TableauNormal"/>
    <w:uiPriority w:val="99"/>
    <w:rsid w:val="000630BF"/>
    <w:pPr>
      <w:spacing w:after="0" w:line="600" w:lineRule="auto"/>
      <w:ind w:left="57"/>
    </w:pPr>
    <w:rPr>
      <w:rFonts w:ascii="Cambria" w:hAnsi="Cambria"/>
    </w:rPr>
    <w:tblPr>
      <w:jc w:val="center"/>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Pr>
    <w:trPr>
      <w:jc w:val="center"/>
    </w:trPr>
    <w:tcPr>
      <w:vAlign w:val="center"/>
    </w:tcPr>
    <w:tblStylePr w:type="firstRow">
      <w:pPr>
        <w:jc w:val="center"/>
      </w:pPr>
      <w:rPr>
        <w:b/>
      </w:rPr>
      <w:tblPr/>
      <w:tcPr>
        <w:shd w:val="clear" w:color="auto" w:fill="C00000"/>
      </w:tcPr>
    </w:tblStylePr>
    <w:tblStylePr w:type="firstCol">
      <w:pPr>
        <w:jc w:val="center"/>
      </w:pPr>
      <w:tblPr/>
      <w:tcPr>
        <w:shd w:val="clear" w:color="auto" w:fill="BFBFBF" w:themeFill="background1" w:themeFillShade="BF"/>
      </w:tcPr>
    </w:tblStylePr>
  </w:style>
  <w:style w:type="paragraph" w:customStyle="1" w:styleId="objectifs">
    <w:name w:val="objectifs"/>
    <w:basedOn w:val="Paragraphedeliste"/>
    <w:link w:val="objectifsChar"/>
    <w:uiPriority w:val="1"/>
    <w:qFormat/>
    <w:rsid w:val="00385235"/>
    <w:pPr>
      <w:numPr>
        <w:numId w:val="1"/>
      </w:numPr>
      <w:spacing w:before="137" w:line="362" w:lineRule="auto"/>
      <w:ind w:left="426" w:hanging="284"/>
      <w:jc w:val="left"/>
    </w:pPr>
  </w:style>
  <w:style w:type="character" w:customStyle="1" w:styleId="objectifsChar">
    <w:name w:val="objectifs Char"/>
    <w:basedOn w:val="ParagraphedelisteCar"/>
    <w:link w:val="objectifs"/>
    <w:uiPriority w:val="1"/>
    <w:rsid w:val="00385235"/>
    <w:rPr>
      <w:rFonts w:ascii="Times New Roman" w:hAnsi="Times New Roman"/>
      <w:sz w:val="24"/>
      <w:szCs w:val="24"/>
    </w:rPr>
  </w:style>
  <w:style w:type="paragraph" w:customStyle="1" w:styleId="listeniv3">
    <w:name w:val="liste niv 3"/>
    <w:basedOn w:val="listeniv2"/>
    <w:link w:val="listeniv3Char"/>
    <w:uiPriority w:val="1"/>
    <w:qFormat/>
    <w:rsid w:val="00581599"/>
    <w:pPr>
      <w:numPr>
        <w:numId w:val="2"/>
      </w:numPr>
      <w:ind w:left="1134" w:hanging="142"/>
    </w:pPr>
  </w:style>
  <w:style w:type="character" w:customStyle="1" w:styleId="listeniv3Char">
    <w:name w:val="liste niv 3 Char"/>
    <w:basedOn w:val="listeniv2Char"/>
    <w:link w:val="listeniv3"/>
    <w:uiPriority w:val="1"/>
    <w:rsid w:val="00581599"/>
    <w:rPr>
      <w:rFonts w:ascii="Times New Roman" w:hAnsi="Times New Roman"/>
      <w:sz w:val="24"/>
      <w:szCs w:val="24"/>
    </w:rPr>
  </w:style>
  <w:style w:type="paragraph" w:styleId="Pieddepage">
    <w:name w:val="footer"/>
    <w:basedOn w:val="Normal"/>
    <w:link w:val="PieddepageCar"/>
    <w:uiPriority w:val="99"/>
    <w:unhideWhenUsed/>
    <w:rsid w:val="005A2C6A"/>
    <w:pPr>
      <w:tabs>
        <w:tab w:val="center" w:pos="4536"/>
        <w:tab w:val="right" w:pos="9072"/>
      </w:tabs>
    </w:pPr>
  </w:style>
  <w:style w:type="character" w:customStyle="1" w:styleId="PieddepageCar">
    <w:name w:val="Pied de page Car"/>
    <w:basedOn w:val="Policepardfaut"/>
    <w:link w:val="Pieddepage"/>
    <w:uiPriority w:val="99"/>
    <w:rsid w:val="005A2C6A"/>
    <w:rPr>
      <w:rFonts w:ascii="Times New Roman" w:hAnsi="Times New Roman"/>
      <w:sz w:val="24"/>
      <w:lang w:eastAsia="fr-FR"/>
    </w:rPr>
  </w:style>
  <w:style w:type="paragraph" w:customStyle="1" w:styleId="listparag2">
    <w:name w:val="list parag 2"/>
    <w:basedOn w:val="Paragraphedeliste"/>
    <w:link w:val="listparag2Char"/>
    <w:uiPriority w:val="1"/>
    <w:semiHidden/>
    <w:qFormat/>
    <w:rsid w:val="00385235"/>
    <w:pPr>
      <w:numPr>
        <w:numId w:val="0"/>
      </w:numPr>
      <w:ind w:left="360" w:hanging="360"/>
    </w:pPr>
  </w:style>
  <w:style w:type="character" w:customStyle="1" w:styleId="listparag2Char">
    <w:name w:val="list parag 2 Char"/>
    <w:basedOn w:val="ParagraphedelisteCar"/>
    <w:link w:val="listparag2"/>
    <w:uiPriority w:val="1"/>
    <w:semiHidden/>
    <w:rsid w:val="00CE4100"/>
    <w:rPr>
      <w:rFonts w:ascii="Times New Roman" w:hAnsi="Times New Roman"/>
      <w:sz w:val="24"/>
      <w:szCs w:val="24"/>
    </w:rPr>
  </w:style>
  <w:style w:type="paragraph" w:customStyle="1" w:styleId="listetoile">
    <w:name w:val="list etoile"/>
    <w:basedOn w:val="Paragraphedeliste"/>
    <w:link w:val="listetoileChar"/>
    <w:uiPriority w:val="1"/>
    <w:qFormat/>
    <w:rsid w:val="00745E48"/>
    <w:pPr>
      <w:numPr>
        <w:ilvl w:val="1"/>
        <w:numId w:val="9"/>
      </w:numPr>
      <w:spacing w:before="100" w:line="353" w:lineRule="auto"/>
      <w:ind w:left="283" w:hanging="249"/>
      <w:contextualSpacing/>
    </w:pPr>
    <w:rPr>
      <w:iCs/>
    </w:rPr>
  </w:style>
  <w:style w:type="character" w:customStyle="1" w:styleId="listetoileChar">
    <w:name w:val="list etoile Char"/>
    <w:basedOn w:val="ParagraphedelisteCar"/>
    <w:link w:val="listetoile"/>
    <w:uiPriority w:val="1"/>
    <w:rsid w:val="00745E48"/>
    <w:rPr>
      <w:rFonts w:ascii="Times New Roman" w:hAnsi="Times New Roman"/>
      <w:iCs/>
      <w:sz w:val="24"/>
      <w:szCs w:val="24"/>
    </w:rPr>
  </w:style>
  <w:style w:type="paragraph" w:customStyle="1" w:styleId="listcret">
    <w:name w:val="list cret"/>
    <w:basedOn w:val="listegras"/>
    <w:link w:val="listcretChar"/>
    <w:uiPriority w:val="1"/>
    <w:qFormat/>
    <w:rsid w:val="00064EF0"/>
    <w:pPr>
      <w:numPr>
        <w:numId w:val="14"/>
      </w:numPr>
      <w:ind w:left="-141" w:hanging="284"/>
    </w:pPr>
    <w:rPr>
      <w:i/>
      <w:iCs/>
      <w:color w:val="000000" w:themeColor="text1"/>
    </w:rPr>
  </w:style>
  <w:style w:type="character" w:customStyle="1" w:styleId="listcretChar">
    <w:name w:val="list cret Char"/>
    <w:basedOn w:val="listegrasChar"/>
    <w:link w:val="listcret"/>
    <w:uiPriority w:val="1"/>
    <w:rsid w:val="00064EF0"/>
    <w:rPr>
      <w:rFonts w:ascii="Times New Roman" w:hAnsi="Times New Roman"/>
      <w:b/>
      <w:bCs/>
      <w:i/>
      <w:iCs/>
      <w:color w:val="000000" w:themeColor="text1"/>
      <w:sz w:val="24"/>
      <w:szCs w:val="32"/>
    </w:rPr>
  </w:style>
  <w:style w:type="paragraph" w:customStyle="1" w:styleId="heading4new">
    <w:name w:val="heading 4 new"/>
    <w:basedOn w:val="Titre4"/>
    <w:link w:val="heading4newChar"/>
    <w:uiPriority w:val="1"/>
    <w:qFormat/>
    <w:rsid w:val="003D070F"/>
    <w:pPr>
      <w:numPr>
        <w:numId w:val="22"/>
      </w:numPr>
      <w:ind w:left="993" w:hanging="142"/>
    </w:pPr>
    <w:rPr>
      <w:color w:val="1F3864" w:themeColor="accent1" w:themeShade="80"/>
      <w:u w:val="single"/>
    </w:rPr>
  </w:style>
  <w:style w:type="character" w:customStyle="1" w:styleId="heading4newChar">
    <w:name w:val="heading 4 new Char"/>
    <w:basedOn w:val="Titre4Car"/>
    <w:link w:val="heading4new"/>
    <w:uiPriority w:val="1"/>
    <w:rsid w:val="003D070F"/>
    <w:rPr>
      <w:rFonts w:ascii="Cambria" w:eastAsiaTheme="majorEastAsia" w:hAnsi="Cambria" w:cstheme="majorBidi"/>
      <w:b/>
      <w:bCs/>
      <w:iCs/>
      <w:color w:val="1F3864" w:themeColor="accent1" w:themeShade="80"/>
      <w:sz w:val="24"/>
      <w:szCs w:val="24"/>
      <w:u w:val="single"/>
      <w:lang w:eastAsia="fr-FR"/>
    </w:rPr>
  </w:style>
  <w:style w:type="paragraph" w:customStyle="1" w:styleId="Style2">
    <w:name w:val="Style2"/>
    <w:basedOn w:val="listcret"/>
    <w:link w:val="Style2Char"/>
    <w:uiPriority w:val="1"/>
    <w:qFormat/>
    <w:rsid w:val="00C21C28"/>
    <w:pPr>
      <w:numPr>
        <w:numId w:val="4"/>
      </w:numPr>
      <w:spacing w:line="276" w:lineRule="auto"/>
      <w:ind w:left="142" w:hanging="360"/>
      <w:jc w:val="left"/>
    </w:pPr>
    <w:rPr>
      <w:b w:val="0"/>
      <w:bCs w:val="0"/>
      <w:color w:val="000000"/>
      <w14:textFill>
        <w14:solidFill>
          <w14:srgbClr w14:val="000000">
            <w14:lumMod w14:val="75000"/>
          </w14:srgbClr>
        </w14:solidFill>
      </w14:textFill>
    </w:rPr>
  </w:style>
  <w:style w:type="character" w:customStyle="1" w:styleId="Style2Char">
    <w:name w:val="Style2 Char"/>
    <w:basedOn w:val="listcretChar"/>
    <w:link w:val="Style2"/>
    <w:uiPriority w:val="1"/>
    <w:rsid w:val="00C21C28"/>
    <w:rPr>
      <w:rFonts w:ascii="Times New Roman" w:hAnsi="Times New Roman"/>
      <w:b w:val="0"/>
      <w:bCs w:val="0"/>
      <w:i/>
      <w:iCs/>
      <w:color w:val="000000"/>
      <w:sz w:val="24"/>
      <w:szCs w:val="32"/>
      <w14:textFill>
        <w14:solidFill>
          <w14:srgbClr w14:val="000000">
            <w14:lumMod w14:val="75000"/>
          </w14:srgbClr>
        </w14:solidFill>
      </w14:textFill>
    </w:rPr>
  </w:style>
  <w:style w:type="paragraph" w:customStyle="1" w:styleId="objlist">
    <w:name w:val="obj list"/>
    <w:basedOn w:val="Paragraphedeliste"/>
    <w:link w:val="objlistChar"/>
    <w:uiPriority w:val="1"/>
    <w:qFormat/>
    <w:rsid w:val="00156D1A"/>
    <w:pPr>
      <w:numPr>
        <w:numId w:val="16"/>
      </w:numPr>
      <w:spacing w:line="276" w:lineRule="auto"/>
      <w:jc w:val="left"/>
    </w:pPr>
    <w:rPr>
      <w:rFonts w:asciiTheme="majorBidi" w:hAnsiTheme="majorBidi" w:cstheme="majorBidi"/>
    </w:rPr>
  </w:style>
  <w:style w:type="character" w:customStyle="1" w:styleId="objlistChar">
    <w:name w:val="obj list Char"/>
    <w:basedOn w:val="ParagraphedelisteCar"/>
    <w:link w:val="objlist"/>
    <w:uiPriority w:val="1"/>
    <w:rsid w:val="00156D1A"/>
    <w:rPr>
      <w:rFonts w:asciiTheme="majorBidi" w:hAnsiTheme="majorBidi" w:cstheme="majorBidi"/>
      <w:sz w:val="24"/>
      <w:szCs w:val="24"/>
    </w:rPr>
  </w:style>
  <w:style w:type="paragraph" w:styleId="TM1">
    <w:name w:val="toc 1"/>
    <w:basedOn w:val="Normal"/>
    <w:next w:val="Normal"/>
    <w:autoRedefine/>
    <w:uiPriority w:val="39"/>
    <w:semiHidden/>
    <w:unhideWhenUsed/>
    <w:qFormat/>
    <w:rsid w:val="00385235"/>
    <w:pPr>
      <w:spacing w:after="100"/>
    </w:pPr>
  </w:style>
  <w:style w:type="paragraph" w:styleId="TM2">
    <w:name w:val="toc 2"/>
    <w:basedOn w:val="Normal"/>
    <w:next w:val="Normal"/>
    <w:autoRedefine/>
    <w:uiPriority w:val="39"/>
    <w:semiHidden/>
    <w:unhideWhenUsed/>
    <w:qFormat/>
    <w:rsid w:val="00385235"/>
    <w:pPr>
      <w:spacing w:after="100"/>
      <w:ind w:left="220"/>
    </w:pPr>
  </w:style>
  <w:style w:type="paragraph" w:customStyle="1" w:styleId="formule">
    <w:name w:val="formule"/>
    <w:basedOn w:val="Citationintense"/>
    <w:link w:val="formuleChar"/>
    <w:uiPriority w:val="1"/>
    <w:qFormat/>
    <w:rsid w:val="00AC7B39"/>
    <w:pPr>
      <w:ind w:left="0" w:right="112"/>
    </w:pPr>
    <w:rPr>
      <w:b/>
      <w:bCs/>
      <w:sz w:val="22"/>
      <w:szCs w:val="20"/>
    </w:rPr>
  </w:style>
  <w:style w:type="character" w:customStyle="1" w:styleId="formuleChar">
    <w:name w:val="formule Char"/>
    <w:basedOn w:val="CitationintenseCar"/>
    <w:link w:val="formule"/>
    <w:uiPriority w:val="1"/>
    <w:rsid w:val="00AC7B39"/>
    <w:rPr>
      <w:rFonts w:ascii="Times New Roman" w:hAnsi="Times New Roman"/>
      <w:b/>
      <w:bCs/>
      <w:color w:val="000000" w:themeColor="text1"/>
      <w:sz w:val="24"/>
      <w:szCs w:val="20"/>
      <w:shd w:val="clear" w:color="auto" w:fill="F2F2F2" w:themeFill="background1" w:themeFillShade="F2"/>
      <w:lang w:eastAsia="fr-FR"/>
    </w:rPr>
  </w:style>
  <w:style w:type="paragraph" w:customStyle="1" w:styleId="listexx">
    <w:name w:val="liste xx"/>
    <w:basedOn w:val="Paragraphedeliste"/>
    <w:link w:val="listexxChar"/>
    <w:uiPriority w:val="1"/>
    <w:qFormat/>
    <w:rsid w:val="00427A38"/>
    <w:pPr>
      <w:numPr>
        <w:numId w:val="20"/>
      </w:numPr>
      <w:spacing w:before="0"/>
      <w:ind w:left="567"/>
    </w:pPr>
  </w:style>
  <w:style w:type="character" w:customStyle="1" w:styleId="listexxChar">
    <w:name w:val="liste xx Char"/>
    <w:basedOn w:val="ParagraphedelisteCar"/>
    <w:link w:val="listexx"/>
    <w:uiPriority w:val="1"/>
    <w:rsid w:val="00427A38"/>
    <w:rPr>
      <w:rFonts w:ascii="Times New Roman" w:hAnsi="Times New Roman"/>
      <w:sz w:val="24"/>
      <w:szCs w:val="24"/>
    </w:rPr>
  </w:style>
  <w:style w:type="paragraph" w:customStyle="1" w:styleId="liste0">
    <w:name w:val="liste *"/>
    <w:basedOn w:val="Corpsdetexte"/>
    <w:link w:val="listeChar"/>
    <w:uiPriority w:val="1"/>
    <w:qFormat/>
    <w:rsid w:val="00AE5210"/>
    <w:pPr>
      <w:numPr>
        <w:numId w:val="13"/>
      </w:numPr>
      <w:spacing w:before="360" w:after="120" w:line="358" w:lineRule="auto"/>
      <w:ind w:left="142" w:hanging="284"/>
    </w:pPr>
    <w:rPr>
      <w:b/>
      <w:bCs/>
      <w:noProof/>
      <w:color w:val="833C0B" w:themeColor="accent2" w:themeShade="80"/>
    </w:rPr>
  </w:style>
  <w:style w:type="character" w:customStyle="1" w:styleId="listeChar">
    <w:name w:val="liste * Char"/>
    <w:basedOn w:val="CorpsdetexteCar"/>
    <w:link w:val="liste0"/>
    <w:uiPriority w:val="1"/>
    <w:rsid w:val="00AE5210"/>
    <w:rPr>
      <w:rFonts w:ascii="Times New Roman" w:hAnsi="Times New Roman"/>
      <w:b/>
      <w:bCs/>
      <w:noProof/>
      <w:color w:val="833C0B" w:themeColor="accent2" w:themeShade="80"/>
      <w:sz w:val="24"/>
      <w:szCs w:val="24"/>
      <w:lang w:eastAsia="fr-FR"/>
    </w:rPr>
  </w:style>
  <w:style w:type="paragraph" w:customStyle="1" w:styleId="heading5new">
    <w:name w:val="heading 5 new"/>
    <w:basedOn w:val="Titre1"/>
    <w:link w:val="heading5newChar"/>
    <w:uiPriority w:val="1"/>
    <w:qFormat/>
    <w:rsid w:val="00042215"/>
    <w:pPr>
      <w:numPr>
        <w:ilvl w:val="4"/>
      </w:numPr>
    </w:pPr>
    <w:rPr>
      <w:color w:val="FF0066"/>
      <w:sz w:val="24"/>
      <w:szCs w:val="24"/>
    </w:rPr>
  </w:style>
  <w:style w:type="paragraph" w:customStyle="1" w:styleId="heading6new">
    <w:name w:val="heading 6 new"/>
    <w:basedOn w:val="Titre6"/>
    <w:link w:val="heading6newChar"/>
    <w:uiPriority w:val="1"/>
    <w:qFormat/>
    <w:rsid w:val="007737D6"/>
    <w:pPr>
      <w:numPr>
        <w:numId w:val="15"/>
      </w:numPr>
      <w:spacing w:after="120"/>
      <w:ind w:left="1559" w:hanging="357"/>
    </w:pPr>
  </w:style>
  <w:style w:type="character" w:customStyle="1" w:styleId="heading5newChar">
    <w:name w:val="heading 5 new Char"/>
    <w:basedOn w:val="Titre5Car"/>
    <w:link w:val="heading5new"/>
    <w:uiPriority w:val="1"/>
    <w:rsid w:val="00042215"/>
    <w:rPr>
      <w:rFonts w:ascii="Cambria" w:eastAsiaTheme="majorEastAsia" w:hAnsi="Cambria" w:cstheme="majorBidi"/>
      <w:b/>
      <w:bCs/>
      <w:color w:val="FF0066"/>
      <w:sz w:val="24"/>
      <w:szCs w:val="24"/>
      <w:lang w:eastAsia="fr-FR"/>
    </w:rPr>
  </w:style>
  <w:style w:type="paragraph" w:customStyle="1" w:styleId="heading3neww">
    <w:name w:val="heading 3 neww"/>
    <w:basedOn w:val="Titre3"/>
    <w:link w:val="heading3newwChar"/>
    <w:uiPriority w:val="1"/>
    <w:qFormat/>
    <w:rsid w:val="009E18DA"/>
    <w:pPr>
      <w:numPr>
        <w:ilvl w:val="0"/>
        <w:numId w:val="24"/>
      </w:numPr>
      <w:ind w:left="142" w:hanging="295"/>
    </w:pPr>
    <w:rPr>
      <w:color w:val="207E24"/>
      <w14:textFill>
        <w14:solidFill>
          <w14:srgbClr w14:val="207E24">
            <w14:lumMod w14:val="75000"/>
          </w14:srgbClr>
        </w14:solidFill>
      </w14:textFill>
    </w:rPr>
  </w:style>
  <w:style w:type="character" w:customStyle="1" w:styleId="heading6newChar">
    <w:name w:val="heading 6 new Char"/>
    <w:basedOn w:val="Titre6Car"/>
    <w:link w:val="heading6new"/>
    <w:uiPriority w:val="1"/>
    <w:rsid w:val="007737D6"/>
    <w:rPr>
      <w:rFonts w:ascii="Cambria" w:hAnsi="Cambria"/>
      <w:i/>
      <w:iCs/>
      <w:color w:val="7030A0"/>
      <w:sz w:val="24"/>
      <w:lang w:eastAsia="fr-FR"/>
    </w:rPr>
  </w:style>
  <w:style w:type="character" w:customStyle="1" w:styleId="heading3newwChar">
    <w:name w:val="heading 3 neww Char"/>
    <w:basedOn w:val="Policepardfaut"/>
    <w:link w:val="heading3neww"/>
    <w:uiPriority w:val="1"/>
    <w:rsid w:val="009E18DA"/>
    <w:rPr>
      <w:rFonts w:ascii="Cambria" w:eastAsiaTheme="majorEastAsia" w:hAnsi="Cambria" w:cstheme="majorBidi"/>
      <w:b/>
      <w:bCs/>
      <w:color w:val="207E24"/>
      <w:sz w:val="24"/>
      <w:szCs w:val="24"/>
      <w:lang w:eastAsia="fr-FR"/>
      <w14:textFill>
        <w14:solidFill>
          <w14:srgbClr w14:val="207E24">
            <w14:lumMod w14:val="75000"/>
          </w14:srgbClr>
        </w14:solidFill>
      </w14:textFill>
    </w:rPr>
  </w:style>
  <w:style w:type="paragraph" w:customStyle="1" w:styleId="Emphasis1">
    <w:name w:val="Emphasis1"/>
    <w:basedOn w:val="listetoile"/>
    <w:link w:val="emphasisChar"/>
    <w:uiPriority w:val="1"/>
    <w:qFormat/>
    <w:rsid w:val="001E6066"/>
    <w:rPr>
      <w:color w:val="00B050"/>
    </w:rPr>
  </w:style>
  <w:style w:type="character" w:customStyle="1" w:styleId="emphasisChar">
    <w:name w:val="emphasis Char"/>
    <w:basedOn w:val="listetoileChar"/>
    <w:link w:val="Emphasis1"/>
    <w:uiPriority w:val="1"/>
    <w:rsid w:val="001E6066"/>
    <w:rPr>
      <w:rFonts w:ascii="Times New Roman" w:hAnsi="Times New Roman"/>
      <w:iCs/>
      <w:color w:val="00B050"/>
      <w:sz w:val="24"/>
      <w:szCs w:val="24"/>
    </w:rPr>
  </w:style>
  <w:style w:type="paragraph" w:customStyle="1" w:styleId="bodyjump">
    <w:name w:val="body jump"/>
    <w:basedOn w:val="Corpsdetexte"/>
    <w:link w:val="bodyjumpChar"/>
    <w:uiPriority w:val="1"/>
    <w:qFormat/>
    <w:rsid w:val="00C21C28"/>
    <w:rPr>
      <w:sz w:val="10"/>
      <w:szCs w:val="10"/>
    </w:rPr>
  </w:style>
  <w:style w:type="paragraph" w:customStyle="1" w:styleId="bodyst2">
    <w:name w:val="body st 2"/>
    <w:basedOn w:val="listeespace"/>
    <w:link w:val="bodyst2Char"/>
    <w:uiPriority w:val="1"/>
    <w:qFormat/>
    <w:rsid w:val="00D60D78"/>
    <w:rPr>
      <w:b/>
      <w:bCs/>
      <w:i/>
      <w:iCs/>
      <w:color w:val="7030A0"/>
    </w:rPr>
  </w:style>
  <w:style w:type="character" w:customStyle="1" w:styleId="bodyjumpChar">
    <w:name w:val="body jump Char"/>
    <w:basedOn w:val="CorpsdetexteCar"/>
    <w:link w:val="bodyjump"/>
    <w:uiPriority w:val="1"/>
    <w:rsid w:val="00C21C28"/>
    <w:rPr>
      <w:rFonts w:ascii="Times New Roman" w:hAnsi="Times New Roman"/>
      <w:sz w:val="10"/>
      <w:szCs w:val="10"/>
      <w:lang w:eastAsia="fr-FR"/>
    </w:rPr>
  </w:style>
  <w:style w:type="character" w:customStyle="1" w:styleId="bodyst2Char">
    <w:name w:val="body st 2 Char"/>
    <w:basedOn w:val="listeespaceChar"/>
    <w:link w:val="bodyst2"/>
    <w:uiPriority w:val="1"/>
    <w:rsid w:val="00D60D78"/>
    <w:rPr>
      <w:rFonts w:ascii="Times New Roman" w:hAnsi="Times New Roman"/>
      <w:b/>
      <w:bCs/>
      <w:i/>
      <w:iCs/>
      <w:color w:val="7030A0"/>
      <w:sz w:val="24"/>
      <w:szCs w:val="24"/>
    </w:rPr>
  </w:style>
  <w:style w:type="table" w:styleId="TableauGrille4-Accentuation1">
    <w:name w:val="Grid Table 4 Accent 1"/>
    <w:basedOn w:val="TableauNormal"/>
    <w:uiPriority w:val="49"/>
    <w:rsid w:val="000630B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ing2new">
    <w:name w:val="heading 2 new"/>
    <w:basedOn w:val="Titre2"/>
    <w:link w:val="heading2newChar"/>
    <w:uiPriority w:val="1"/>
    <w:qFormat/>
    <w:rsid w:val="00806664"/>
    <w:pPr>
      <w:numPr>
        <w:numId w:val="21"/>
      </w:numPr>
    </w:pPr>
    <w:rPr>
      <w:szCs w:val="32"/>
    </w:rPr>
  </w:style>
  <w:style w:type="character" w:customStyle="1" w:styleId="heading2newChar">
    <w:name w:val="heading 2 new Char"/>
    <w:basedOn w:val="Titre2Car"/>
    <w:link w:val="heading2new"/>
    <w:uiPriority w:val="1"/>
    <w:rsid w:val="00806664"/>
    <w:rPr>
      <w:rFonts w:ascii="Cambria" w:eastAsiaTheme="majorEastAsia" w:hAnsi="Cambria" w:cstheme="majorBidi"/>
      <w:b/>
      <w:bCs/>
      <w:color w:val="002060"/>
      <w:spacing w:val="1"/>
      <w:w w:val="105"/>
      <w:sz w:val="24"/>
      <w:szCs w:val="32"/>
      <w:lang w:eastAsia="fr-FR"/>
    </w:rPr>
  </w:style>
  <w:style w:type="character" w:styleId="Lienhypertexte">
    <w:name w:val="Hyperlink"/>
    <w:basedOn w:val="Policepardfaut"/>
    <w:uiPriority w:val="99"/>
    <w:unhideWhenUsed/>
    <w:rsid w:val="00C2792B"/>
    <w:rPr>
      <w:color w:val="0563C1" w:themeColor="hyperlink"/>
      <w:u w:val="single"/>
    </w:rPr>
  </w:style>
  <w:style w:type="character" w:styleId="Mentionnonrsolue">
    <w:name w:val="Unresolved Mention"/>
    <w:basedOn w:val="Policepardfaut"/>
    <w:uiPriority w:val="99"/>
    <w:semiHidden/>
    <w:unhideWhenUsed/>
    <w:rsid w:val="00C2792B"/>
    <w:rPr>
      <w:color w:val="605E5C"/>
      <w:shd w:val="clear" w:color="auto" w:fill="E1DFDD"/>
    </w:rPr>
  </w:style>
  <w:style w:type="paragraph" w:customStyle="1" w:styleId="niv15">
    <w:name w:val="niv 1.5"/>
    <w:basedOn w:val="niv2"/>
    <w:link w:val="niv15Char"/>
    <w:uiPriority w:val="1"/>
    <w:qFormat/>
    <w:rsid w:val="00C2792B"/>
    <w:pPr>
      <w:ind w:left="284"/>
    </w:pPr>
  </w:style>
  <w:style w:type="paragraph" w:customStyle="1" w:styleId="listet">
    <w:name w:val="list et"/>
    <w:basedOn w:val="listetoile"/>
    <w:link w:val="listetChar"/>
    <w:uiPriority w:val="1"/>
    <w:qFormat/>
    <w:rsid w:val="001C297D"/>
    <w:pPr>
      <w:spacing w:before="120"/>
      <w:ind w:left="-142"/>
      <w:contextualSpacing w:val="0"/>
    </w:pPr>
  </w:style>
  <w:style w:type="character" w:customStyle="1" w:styleId="niv15Char">
    <w:name w:val="niv 1.5 Char"/>
    <w:basedOn w:val="niv2Char"/>
    <w:link w:val="niv15"/>
    <w:uiPriority w:val="1"/>
    <w:rsid w:val="00C2792B"/>
    <w:rPr>
      <w:rFonts w:ascii="Times New Roman" w:hAnsi="Times New Roman"/>
      <w:sz w:val="24"/>
      <w:szCs w:val="24"/>
    </w:rPr>
  </w:style>
  <w:style w:type="paragraph" w:customStyle="1" w:styleId="listci">
    <w:name w:val="list ci"/>
    <w:basedOn w:val="Paragraphedeliste"/>
    <w:link w:val="listciChar"/>
    <w:uiPriority w:val="1"/>
    <w:qFormat/>
    <w:rsid w:val="007519B6"/>
    <w:pPr>
      <w:numPr>
        <w:numId w:val="18"/>
      </w:numPr>
      <w:spacing w:before="137"/>
      <w:ind w:left="142"/>
      <w:jc w:val="left"/>
    </w:pPr>
  </w:style>
  <w:style w:type="character" w:customStyle="1" w:styleId="listetChar">
    <w:name w:val="list et Char"/>
    <w:basedOn w:val="listetoileChar"/>
    <w:link w:val="listet"/>
    <w:uiPriority w:val="1"/>
    <w:rsid w:val="001C297D"/>
    <w:rPr>
      <w:rFonts w:ascii="Times New Roman" w:hAnsi="Times New Roman"/>
      <w:iCs/>
      <w:sz w:val="24"/>
      <w:szCs w:val="24"/>
    </w:rPr>
  </w:style>
  <w:style w:type="character" w:customStyle="1" w:styleId="listciChar">
    <w:name w:val="list ci Char"/>
    <w:basedOn w:val="ParagraphedelisteCar"/>
    <w:link w:val="listci"/>
    <w:uiPriority w:val="1"/>
    <w:rsid w:val="007519B6"/>
    <w:rPr>
      <w:rFonts w:ascii="Times New Roman" w:hAnsi="Times New Roman"/>
      <w:sz w:val="24"/>
      <w:szCs w:val="24"/>
    </w:rPr>
  </w:style>
  <w:style w:type="paragraph" w:customStyle="1" w:styleId="liste">
    <w:name w:val="liste*"/>
    <w:basedOn w:val="Paragraphedeliste"/>
    <w:link w:val="listeChar0"/>
    <w:uiPriority w:val="1"/>
    <w:qFormat/>
    <w:rsid w:val="00806664"/>
    <w:pPr>
      <w:numPr>
        <w:numId w:val="19"/>
      </w:numPr>
      <w:spacing w:before="120"/>
      <w:ind w:left="-142" w:hanging="284"/>
    </w:pPr>
  </w:style>
  <w:style w:type="character" w:customStyle="1" w:styleId="listeChar0">
    <w:name w:val="liste* Char"/>
    <w:basedOn w:val="ParagraphedelisteCar"/>
    <w:link w:val="liste"/>
    <w:uiPriority w:val="1"/>
    <w:rsid w:val="00806664"/>
    <w:rPr>
      <w:rFonts w:ascii="Times New Roman" w:hAnsi="Times New Roman"/>
      <w:sz w:val="24"/>
      <w:szCs w:val="24"/>
    </w:rPr>
  </w:style>
  <w:style w:type="numbering" w:customStyle="1" w:styleId="Style1bm">
    <w:name w:val="Style1bm"/>
    <w:uiPriority w:val="99"/>
    <w:rsid w:val="009E18DA"/>
    <w:pPr>
      <w:numPr>
        <w:numId w:val="23"/>
      </w:numPr>
    </w:pPr>
  </w:style>
  <w:style w:type="paragraph" w:customStyle="1" w:styleId="listchek">
    <w:name w:val="list chek"/>
    <w:basedOn w:val="liste"/>
    <w:link w:val="listchekChar"/>
    <w:uiPriority w:val="1"/>
    <w:qFormat/>
    <w:rsid w:val="00271C84"/>
    <w:pPr>
      <w:numPr>
        <w:numId w:val="26"/>
      </w:numPr>
    </w:pPr>
  </w:style>
  <w:style w:type="paragraph" w:customStyle="1" w:styleId="listx">
    <w:name w:val="list x"/>
    <w:basedOn w:val="listex"/>
    <w:link w:val="listxChar"/>
    <w:uiPriority w:val="1"/>
    <w:qFormat/>
    <w:rsid w:val="006D0154"/>
    <w:pPr>
      <w:numPr>
        <w:ilvl w:val="0"/>
        <w:numId w:val="27"/>
      </w:numPr>
      <w:ind w:left="284"/>
    </w:pPr>
    <w:rPr>
      <w:b w:val="0"/>
      <w:bCs w:val="0"/>
      <w:color w:val="auto"/>
    </w:rPr>
  </w:style>
  <w:style w:type="character" w:customStyle="1" w:styleId="listchekChar">
    <w:name w:val="list chek Char"/>
    <w:basedOn w:val="listeChar0"/>
    <w:link w:val="listchek"/>
    <w:uiPriority w:val="1"/>
    <w:rsid w:val="00271C84"/>
    <w:rPr>
      <w:rFonts w:ascii="Times New Roman" w:hAnsi="Times New Roman"/>
      <w:sz w:val="24"/>
      <w:szCs w:val="24"/>
    </w:rPr>
  </w:style>
  <w:style w:type="character" w:customStyle="1" w:styleId="listxChar">
    <w:name w:val="list x Char"/>
    <w:basedOn w:val="listexChar"/>
    <w:link w:val="listx"/>
    <w:uiPriority w:val="1"/>
    <w:rsid w:val="006D0154"/>
    <w:rPr>
      <w:rFonts w:ascii="Times New Roman" w:hAnsi="Times New Roman"/>
      <w:b w:val="0"/>
      <w:bCs w:val="0"/>
      <w:color w:val="FF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5968">
      <w:bodyDiv w:val="1"/>
      <w:marLeft w:val="0"/>
      <w:marRight w:val="0"/>
      <w:marTop w:val="0"/>
      <w:marBottom w:val="0"/>
      <w:divBdr>
        <w:top w:val="none" w:sz="0" w:space="0" w:color="auto"/>
        <w:left w:val="none" w:sz="0" w:space="0" w:color="auto"/>
        <w:bottom w:val="none" w:sz="0" w:space="0" w:color="auto"/>
        <w:right w:val="none" w:sz="0" w:space="0" w:color="auto"/>
      </w:divBdr>
    </w:div>
    <w:div w:id="141940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4ADA5-E107-483A-A1D3-24660FB1221F}">
  <ds:schemaRefs>
    <ds:schemaRef ds:uri="http://schemas.openxmlformats.org/officeDocument/2006/bibliography"/>
  </ds:schemaRefs>
</ds:datastoreItem>
</file>

<file path=docMetadata/LabelInfo.xml><?xml version="1.0" encoding="utf-8"?>
<clbl:labelList xmlns:clbl="http://schemas.microsoft.com/office/2020/mipLabelMetadata">
  <clbl:label id="{87980497-c6de-4078-8a89-99858a78bed4}" enabled="1" method="Privileged" siteId="{b83e978f-c31e-42ee-9b78-c60e657e1792}" contentBits="0" removed="0"/>
</clbl:labelList>
</file>

<file path=docProps/app.xml><?xml version="1.0" encoding="utf-8"?>
<Properties xmlns="http://schemas.openxmlformats.org/officeDocument/2006/extended-properties" xmlns:vt="http://schemas.openxmlformats.org/officeDocument/2006/docPropsVTypes">
  <Template>Normal</Template>
  <TotalTime>100</TotalTime>
  <Pages>29</Pages>
  <Words>6076</Words>
  <Characters>33422</Characters>
  <Application>Microsoft Office Word</Application>
  <DocSecurity>0</DocSecurity>
  <Lines>278</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 Bz</dc:creator>
  <cp:keywords/>
  <dc:description/>
  <cp:lastModifiedBy>Wala BOUZOUITA</cp:lastModifiedBy>
  <cp:revision>30</cp:revision>
  <cp:lastPrinted>2024-05-25T17:52:00Z</cp:lastPrinted>
  <dcterms:created xsi:type="dcterms:W3CDTF">2022-06-07T16:32:00Z</dcterms:created>
  <dcterms:modified xsi:type="dcterms:W3CDTF">2025-06-07T11:58:00Z</dcterms:modified>
</cp:coreProperties>
</file>