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KEN CLEMONS</w:t>
      </w:r>
    </w:p>
    <w:p>
      <w:pPr>
        <w:spacing w:after="40"/>
        <w:jc w:val="center"/>
      </w:pPr>
      <w:r>
        <w:rPr>
          <w:rFonts w:ascii="Calibri" w:cs="Calibri" w:eastAsia="Calibri" w:hAnsi="Calibri"/>
          <w:sz w:val="20"/>
          <w:szCs w:val="20"/>
        </w:rPr>
        <w:t xml:space="preserve">Sales Portfolio  |  Strategic Account Executive, TOLA  |  Infoblox</w:t>
      </w:r>
    </w:p>
    <w:p>
      <w:pPr>
        <w:spacing w:after="200"/>
        <w:jc w:val="center"/>
      </w:pPr>
      <w:r>
        <w:rPr>
          <w:rFonts w:ascii="Calibri" w:cs="Calibri" w:eastAsia="Calibri" w:hAnsi="Calibri"/>
          <w:sz w:val="19"/>
          <w:szCs w:val="19"/>
        </w:rPr>
        <w:t xml:space="preserve">Northwest Arkansas  |  314-496-7341  |  ken.clemons@gmail.com  |  linkedin.com/in/kennethclemons</w:t>
      </w:r>
    </w:p>
    <w:p>
      <w:pPr>
        <w:pBdr>
          <w:bottom w:val="single" w:color="888888" w:sz="6" w:space="2"/>
        </w:pBdr>
        <w:spacing w:after="100" w:before="220"/>
      </w:pPr>
      <w:r>
        <w:rPr>
          <w:rFonts w:ascii="Calibri" w:cs="Calibri" w:eastAsia="Calibri" w:hAnsi="Calibri"/>
          <w:b/>
          <w:bCs/>
          <w:sz w:val="22"/>
          <w:szCs w:val="22"/>
        </w:rPr>
        <w:t xml:space="preserve">ATTAINMENT RECORD</w:t>
      </w:r>
    </w:p>
    <w:p>
      <w:pPr>
        <w:spacing w:after="110"/>
      </w:pPr>
      <w:r>
        <w:rPr>
          <w:rFonts w:ascii="Calibri" w:cs="Calibri" w:eastAsia="Calibri" w:hAnsi="Calibri"/>
          <w:b/>
          <w:bCs/>
          <w:sz w:val="21"/>
          <w:szCs w:val="21"/>
        </w:rPr>
        <w:t xml:space="preserve">Analyst1, 2025 to present. </w:t>
      </w:r>
      <w:r>
        <w:rPr>
          <w:rFonts w:ascii="Calibri" w:cs="Calibri" w:eastAsia="Calibri" w:hAnsi="Calibri"/>
          <w:sz w:val="21"/>
          <w:szCs w:val="21"/>
        </w:rPr>
        <w:t xml:space="preserve">Thirteen state Central region including Texas, Oklahoma, Louisiana and Arkansas, built with no installed base. Logos closed: SLB, American Airlines, Arvest Bank, Alliant Credit Union, Xcel Energy.</w:t>
      </w:r>
    </w:p>
    <w:p>
      <w:pPr>
        <w:spacing w:after="110"/>
      </w:pPr>
      <w:r>
        <w:rPr>
          <w:rFonts w:ascii="Calibri" w:cs="Calibri" w:eastAsia="Calibri" w:hAnsi="Calibri"/>
          <w:b/>
          <w:bCs/>
          <w:sz w:val="21"/>
          <w:szCs w:val="21"/>
        </w:rPr>
        <w:t xml:space="preserve">Gigamon, 2024 to 2025. </w:t>
      </w:r>
      <w:r>
        <w:rPr>
          <w:rFonts w:ascii="Calibri" w:cs="Calibri" w:eastAsia="Calibri" w:hAnsi="Calibri"/>
          <w:sz w:val="21"/>
          <w:szCs w:val="21"/>
        </w:rPr>
        <w:t xml:space="preserve">750K regional number at 125 percent. More than 5M in qualified pipeline. Agreements averaging near 250K.</w:t>
      </w:r>
    </w:p>
    <w:p>
      <w:pPr>
        <w:spacing w:after="110"/>
      </w:pPr>
      <w:r>
        <w:rPr>
          <w:rFonts w:ascii="Calibri" w:cs="Calibri" w:eastAsia="Calibri" w:hAnsi="Calibri"/>
          <w:b/>
          <w:bCs/>
          <w:sz w:val="21"/>
          <w:szCs w:val="21"/>
        </w:rPr>
        <w:t xml:space="preserve">Cloudflare, 2022 to 2024. </w:t>
      </w:r>
      <w:r>
        <w:rPr>
          <w:rFonts w:ascii="Calibri" w:cs="Calibri" w:eastAsia="Calibri" w:hAnsi="Calibri"/>
          <w:sz w:val="21"/>
          <w:szCs w:val="21"/>
        </w:rPr>
        <w:t xml:space="preserve">1M quota at 115 percent across install base growth and new logo acquisition. More than 4M in pipeline across 35 enterprise accounts.</w:t>
      </w:r>
    </w:p>
    <w:p>
      <w:pPr>
        <w:spacing w:after="110"/>
      </w:pPr>
      <w:r>
        <w:rPr>
          <w:rFonts w:ascii="Calibri" w:cs="Calibri" w:eastAsia="Calibri" w:hAnsi="Calibri"/>
          <w:b/>
          <w:bCs/>
          <w:sz w:val="21"/>
          <w:szCs w:val="21"/>
        </w:rPr>
        <w:t xml:space="preserve">Couchbase, 2020 to 2022. </w:t>
      </w:r>
      <w:r>
        <w:rPr>
          <w:rFonts w:ascii="Calibri" w:cs="Calibri" w:eastAsia="Calibri" w:hAnsi="Calibri"/>
          <w:sz w:val="21"/>
          <w:szCs w:val="21"/>
        </w:rPr>
        <w:t xml:space="preserve">135 percent of quota. Territory pipeline grew 45 percent to roughly 4M.</w:t>
      </w:r>
    </w:p>
    <w:p>
      <w:pPr>
        <w:spacing w:after="110"/>
      </w:pPr>
      <w:r>
        <w:rPr>
          <w:rFonts w:ascii="Calibri" w:cs="Calibri" w:eastAsia="Calibri" w:hAnsi="Calibri"/>
          <w:b/>
          <w:bCs/>
          <w:sz w:val="21"/>
          <w:szCs w:val="21"/>
        </w:rPr>
        <w:t xml:space="preserve">Red Hat, 2017 to 2020. </w:t>
      </w:r>
      <w:r>
        <w:rPr>
          <w:rFonts w:ascii="Calibri" w:cs="Calibri" w:eastAsia="Calibri" w:hAnsi="Calibri"/>
          <w:sz w:val="21"/>
          <w:szCs w:val="21"/>
        </w:rPr>
        <w:t xml:space="preserve">Quotas of 7M, 5M and 3.5M at 160, 128 and 137 percent. President's Club.</w:t>
      </w:r>
    </w:p>
    <w:p>
      <w:pPr>
        <w:spacing w:after="110"/>
      </w:pPr>
      <w:r>
        <w:rPr>
          <w:rFonts w:ascii="Calibri" w:cs="Calibri" w:eastAsia="Calibri" w:hAnsi="Calibri"/>
          <w:b/>
          <w:bCs/>
          <w:sz w:val="21"/>
          <w:szCs w:val="21"/>
        </w:rPr>
        <w:t xml:space="preserve">Alfresco, 2014 to 2017. </w:t>
      </w:r>
      <w:r>
        <w:rPr>
          <w:rFonts w:ascii="Calibri" w:cs="Calibri" w:eastAsia="Calibri" w:hAnsi="Calibri"/>
          <w:sz w:val="21"/>
          <w:szCs w:val="21"/>
        </w:rPr>
        <w:t xml:space="preserve">4M regional target at 146 percent while carrying 1.5M personally. President's Club.</w:t>
      </w:r>
    </w:p>
    <w:p>
      <w:pPr>
        <w:spacing w:after="110"/>
      </w:pPr>
      <w:r>
        <w:rPr>
          <w:rFonts w:ascii="Calibri" w:cs="Calibri" w:eastAsia="Calibri" w:hAnsi="Calibri"/>
          <w:b/>
          <w:bCs/>
          <w:sz w:val="21"/>
          <w:szCs w:val="21"/>
        </w:rPr>
        <w:t xml:space="preserve">Adobe, 2010 to 2014. </w:t>
      </w:r>
      <w:r>
        <w:rPr>
          <w:rFonts w:ascii="Calibri" w:cs="Calibri" w:eastAsia="Calibri" w:hAnsi="Calibri"/>
          <w:sz w:val="21"/>
          <w:szCs w:val="21"/>
        </w:rPr>
        <w:t xml:space="preserve">2M annual quota cleared every year, more than 5M in total contract value. President's Club twice.</w:t>
      </w:r>
    </w:p>
    <w:p>
      <w:pPr>
        <w:pBdr>
          <w:bottom w:val="single" w:color="888888" w:sz="6" w:space="2"/>
        </w:pBdr>
        <w:spacing w:after="100" w:before="220"/>
      </w:pPr>
      <w:r>
        <w:rPr>
          <w:rFonts w:ascii="Calibri" w:cs="Calibri" w:eastAsia="Calibri" w:hAnsi="Calibri"/>
          <w:b/>
          <w:bCs/>
          <w:sz w:val="22"/>
          <w:szCs w:val="22"/>
        </w:rPr>
        <w:t xml:space="preserve">TOLA COVERAGE</w:t>
      </w:r>
    </w:p>
    <w:p>
      <w:pPr>
        <w:spacing w:after="120"/>
      </w:pPr>
      <w:r>
        <w:rPr>
          <w:rFonts w:ascii="Calibri" w:cs="Calibri" w:eastAsia="Calibri" w:hAnsi="Calibri"/>
          <w:i w:val="false"/>
          <w:iCs w:val="false"/>
          <w:sz w:val="21"/>
          <w:szCs w:val="21"/>
        </w:rPr>
        <w:t xml:space="preserve">Home in Northwest Arkansas near Rogers and Bentonville with XNA access, which puts Dallas, Houston, Oklahoma City, Tulsa and Little Rock inside a short flight or a drive. The current Analyst1 territory covers Texas, Oklahoma, Louisiana and Arkansas alongside the Midwest.</w:t>
      </w:r>
    </w:p>
    <w:p>
      <w:pPr>
        <w:spacing w:after="110"/>
      </w:pPr>
      <w:r>
        <w:rPr>
          <w:rFonts w:ascii="Calibri" w:cs="Calibri" w:eastAsia="Calibri" w:hAnsi="Calibri"/>
          <w:b/>
          <w:bCs/>
          <w:sz w:val="21"/>
          <w:szCs w:val="21"/>
        </w:rPr>
        <w:t xml:space="preserve">Texas. </w:t>
      </w:r>
      <w:r>
        <w:rPr>
          <w:rFonts w:ascii="Calibri" w:cs="Calibri" w:eastAsia="Calibri" w:hAnsi="Calibri"/>
          <w:sz w:val="21"/>
          <w:szCs w:val="21"/>
        </w:rPr>
        <w:t xml:space="preserve">SLB in Houston, closed from outbound with no prior relationship. American Airlines in Dallas Fort Worth.</w:t>
      </w:r>
    </w:p>
    <w:p>
      <w:pPr>
        <w:spacing w:after="110"/>
      </w:pPr>
      <w:r>
        <w:rPr>
          <w:rFonts w:ascii="Calibri" w:cs="Calibri" w:eastAsia="Calibri" w:hAnsi="Calibri"/>
          <w:b/>
          <w:bCs/>
          <w:sz w:val="21"/>
          <w:szCs w:val="21"/>
        </w:rPr>
        <w:t xml:space="preserve">Arkansas. </w:t>
      </w:r>
      <w:r>
        <w:rPr>
          <w:rFonts w:ascii="Calibri" w:cs="Calibri" w:eastAsia="Calibri" w:hAnsi="Calibri"/>
          <w:sz w:val="21"/>
          <w:szCs w:val="21"/>
        </w:rPr>
        <w:t xml:space="preserve">Arvest Bank closed at Analyst1. Walmart sold across seven consecutive employers, with the supplier community in Northwest Arkansas as a working network. Active in the Walton College Alumni Association and helped found the NWA Tech Summit.</w:t>
      </w:r>
    </w:p>
    <w:p>
      <w:pPr>
        <w:spacing w:after="110"/>
      </w:pPr>
      <w:r>
        <w:rPr>
          <w:rFonts w:ascii="Calibri" w:cs="Calibri" w:eastAsia="Calibri" w:hAnsi="Calibri"/>
          <w:b/>
          <w:bCs/>
          <w:sz w:val="21"/>
          <w:szCs w:val="21"/>
        </w:rPr>
        <w:t xml:space="preserve">Louisiana and the Gulf. </w:t>
      </w:r>
      <w:r>
        <w:rPr>
          <w:rFonts w:ascii="Calibri" w:cs="Calibri" w:eastAsia="Calibri" w:hAnsi="Calibri"/>
          <w:sz w:val="21"/>
          <w:szCs w:val="21"/>
        </w:rPr>
        <w:t xml:space="preserve">Energy and industrial accounts worked through the current territory, with SLB as the anchor relationship.</w:t>
      </w:r>
    </w:p>
    <w:p>
      <w:pPr>
        <w:spacing w:after="110"/>
      </w:pPr>
      <w:r>
        <w:rPr>
          <w:rFonts w:ascii="Calibri" w:cs="Calibri" w:eastAsia="Calibri" w:hAnsi="Calibri"/>
          <w:b/>
          <w:bCs/>
          <w:sz w:val="21"/>
          <w:szCs w:val="21"/>
        </w:rPr>
        <w:t xml:space="preserve">Regional bench. </w:t>
      </w:r>
      <w:r>
        <w:rPr>
          <w:rFonts w:ascii="Calibri" w:cs="Calibri" w:eastAsia="Calibri" w:hAnsi="Calibri"/>
          <w:sz w:val="21"/>
          <w:szCs w:val="21"/>
        </w:rPr>
        <w:t xml:space="preserve">World Wide Technology, Optiv, GuidePoint, SHI, Flashpoint and Intel 471.</w:t>
      </w:r>
    </w:p>
    <w:p>
      <w:pPr>
        <w:pBdr>
          <w:bottom w:val="single" w:color="888888" w:sz="6" w:space="2"/>
        </w:pBdr>
        <w:spacing w:after="100" w:before="220"/>
      </w:pPr>
      <w:r>
        <w:rPr>
          <w:rFonts w:ascii="Calibri" w:cs="Calibri" w:eastAsia="Calibri" w:hAnsi="Calibri"/>
          <w:b/>
          <w:bCs/>
          <w:sz w:val="22"/>
          <w:szCs w:val="22"/>
        </w:rPr>
        <w:t xml:space="preserve">NETWORKING AND SECURITY BACKGROUND</w:t>
      </w:r>
    </w:p>
    <w:p>
      <w:pPr>
        <w:spacing w:after="110"/>
      </w:pPr>
      <w:r>
        <w:rPr>
          <w:rFonts w:ascii="Calibri" w:cs="Calibri" w:eastAsia="Calibri" w:hAnsi="Calibri"/>
          <w:b/>
          <w:bCs/>
          <w:sz w:val="21"/>
          <w:szCs w:val="21"/>
        </w:rPr>
        <w:t xml:space="preserve">Cloudflare, 2022 to 2024. </w:t>
      </w:r>
      <w:r>
        <w:rPr>
          <w:rFonts w:ascii="Calibri" w:cs="Calibri" w:eastAsia="Calibri" w:hAnsi="Calibri"/>
          <w:sz w:val="21"/>
          <w:szCs w:val="21"/>
        </w:rPr>
        <w:t xml:space="preserve">Cloud first networking and security services including DNS, zero trust and network protection. The work was expanding revenue inside existing accounts while hunting new logos, and displacing incumbent point tools with a consolidation case executives could approve.</w:t>
      </w:r>
    </w:p>
    <w:p>
      <w:pPr>
        <w:spacing w:after="110"/>
      </w:pPr>
      <w:r>
        <w:rPr>
          <w:rFonts w:ascii="Calibri" w:cs="Calibri" w:eastAsia="Calibri" w:hAnsi="Calibri"/>
          <w:b/>
          <w:bCs/>
          <w:sz w:val="21"/>
          <w:szCs w:val="21"/>
        </w:rPr>
        <w:t xml:space="preserve">Gigamon, 2024 to 2025. </w:t>
      </w:r>
      <w:r>
        <w:rPr>
          <w:rFonts w:ascii="Calibri" w:cs="Calibri" w:eastAsia="Calibri" w:hAnsi="Calibri"/>
          <w:sz w:val="21"/>
          <w:szCs w:val="21"/>
        </w:rPr>
        <w:t xml:space="preserve">Deep network visibility across hybrid and cloud estates. Sold to infrastructure, network and security operations teams, with the business case built on tooling cost and detection coverage.</w:t>
      </w:r>
    </w:p>
    <w:p>
      <w:pPr>
        <w:spacing w:after="110"/>
      </w:pPr>
      <w:r>
        <w:rPr>
          <w:rFonts w:ascii="Calibri" w:cs="Calibri" w:eastAsia="Calibri" w:hAnsi="Calibri"/>
          <w:b/>
          <w:bCs/>
          <w:sz w:val="21"/>
          <w:szCs w:val="21"/>
        </w:rPr>
        <w:t xml:space="preserve">Analyst1, 2025 to present. </w:t>
      </w:r>
      <w:r>
        <w:rPr>
          <w:rFonts w:ascii="Calibri" w:cs="Calibri" w:eastAsia="Calibri" w:hAnsi="Calibri"/>
          <w:sz w:val="21"/>
          <w:szCs w:val="21"/>
        </w:rPr>
        <w:t xml:space="preserve">Agentic AI threat intelligence sold to CISOs and security operations leadership in regulated institutions.</w:t>
      </w:r>
    </w:p>
    <w:p>
      <w:pPr>
        <w:spacing w:after="110"/>
      </w:pPr>
      <w:r>
        <w:rPr>
          <w:rFonts w:ascii="Calibri" w:cs="Calibri" w:eastAsia="Calibri" w:hAnsi="Calibri"/>
          <w:b/>
          <w:bCs/>
          <w:sz w:val="21"/>
          <w:szCs w:val="21"/>
        </w:rPr>
        <w:t xml:space="preserve">Translating technical to business. </w:t>
      </w:r>
      <w:r>
        <w:rPr>
          <w:rFonts w:ascii="Calibri" w:cs="Calibri" w:eastAsia="Calibri" w:hAnsi="Calibri"/>
          <w:sz w:val="21"/>
          <w:szCs w:val="21"/>
        </w:rPr>
        <w:t xml:space="preserve">Sixteen years of taking architecture level detail and converting it into downtime avoided, tooling consolidated and analyst hours recovered, then defending that case in front of finance.</w:t>
      </w:r>
    </w:p>
    <w:p>
      <w:pPr>
        <w:pBdr>
          <w:bottom w:val="single" w:color="888888" w:sz="6" w:space="2"/>
        </w:pBdr>
        <w:spacing w:after="100" w:before="220"/>
      </w:pPr>
      <w:r>
        <w:rPr>
          <w:rFonts w:ascii="Calibri" w:cs="Calibri" w:eastAsia="Calibri" w:hAnsi="Calibri"/>
          <w:b/>
          <w:bCs/>
          <w:sz w:val="22"/>
          <w:szCs w:val="22"/>
        </w:rPr>
        <w:t xml:space="preserve">ARTIFICIAL INTELLIGENCE</w:t>
      </w:r>
    </w:p>
    <w:p>
      <w:pPr>
        <w:spacing w:after="110"/>
      </w:pPr>
      <w:r>
        <w:rPr>
          <w:rFonts w:ascii="Calibri" w:cs="Calibri" w:eastAsia="Calibri" w:hAnsi="Calibri"/>
          <w:b/>
          <w:bCs/>
          <w:sz w:val="21"/>
          <w:szCs w:val="21"/>
        </w:rPr>
        <w:t xml:space="preserve">Credentials. </w:t>
      </w:r>
      <w:r>
        <w:rPr>
          <w:rFonts w:ascii="Calibri" w:cs="Calibri" w:eastAsia="Calibri" w:hAnsi="Calibri"/>
          <w:sz w:val="21"/>
          <w:szCs w:val="21"/>
        </w:rPr>
        <w:t xml:space="preserve">Twenty AI certifications across IBM AI Academy, Microsoft, AWS and LinkedIn Learning, covering generative AI, machine learning, AI agents and prompt engineering. AWS Certified AI Practitioner.</w:t>
      </w:r>
    </w:p>
    <w:p>
      <w:pPr>
        <w:spacing w:after="110"/>
      </w:pPr>
      <w:r>
        <w:rPr>
          <w:rFonts w:ascii="Calibri" w:cs="Calibri" w:eastAsia="Calibri" w:hAnsi="Calibri"/>
          <w:b/>
          <w:bCs/>
          <w:sz w:val="21"/>
          <w:szCs w:val="21"/>
        </w:rPr>
        <w:t xml:space="preserve">Applied. </w:t>
      </w:r>
      <w:r>
        <w:rPr>
          <w:rFonts w:ascii="Calibri" w:cs="Calibri" w:eastAsia="Calibri" w:hAnsi="Calibri"/>
          <w:sz w:val="21"/>
          <w:szCs w:val="21"/>
        </w:rPr>
        <w:t xml:space="preserve">Designed and shipped EasyGuitar AI, a native iOS application in SwiftUI driven by an AI tutor engine, with no prior coding background.</w:t>
      </w:r>
    </w:p>
    <w:p>
      <w:pPr>
        <w:spacing w:after="110"/>
      </w:pPr>
      <w:r>
        <w:rPr>
          <w:rFonts w:ascii="Calibri" w:cs="Calibri" w:eastAsia="Calibri" w:hAnsi="Calibri"/>
          <w:b/>
          <w:bCs/>
          <w:sz w:val="21"/>
          <w:szCs w:val="21"/>
        </w:rPr>
        <w:t xml:space="preserve">In the sales workflow. </w:t>
      </w:r>
      <w:r>
        <w:rPr>
          <w:rFonts w:ascii="Calibri" w:cs="Calibri" w:eastAsia="Calibri" w:hAnsi="Calibri"/>
          <w:sz w:val="21"/>
          <w:szCs w:val="21"/>
        </w:rPr>
        <w:t xml:space="preserve">AI used daily for account research, prospect qualification, account planning, call preparation and pipeline review.</w:t>
      </w:r>
    </w:p>
    <w:p>
      <w:pPr>
        <w:spacing w:after="110"/>
      </w:pPr>
      <w:r>
        <w:rPr>
          <w:rFonts w:ascii="Calibri" w:cs="Calibri" w:eastAsia="Calibri" w:hAnsi="Calibri"/>
          <w:b/>
          <w:bCs/>
          <w:sz w:val="21"/>
          <w:szCs w:val="21"/>
        </w:rPr>
        <w:t xml:space="preserve">In front of customers. </w:t>
      </w:r>
      <w:r>
        <w:rPr>
          <w:rFonts w:ascii="Calibri" w:cs="Calibri" w:eastAsia="Calibri" w:hAnsi="Calibri"/>
          <w:sz w:val="21"/>
          <w:szCs w:val="21"/>
        </w:rPr>
        <w:t xml:space="preserve">Selling an agentic platform to regulated buyers means answering what the system decides on its own, what stays under human control, and how that gets evidenced. That conversation is my weekly work.</w:t>
      </w:r>
    </w:p>
    <w:p>
      <w:pPr>
        <w:pBdr>
          <w:bottom w:val="single" w:color="888888" w:sz="6" w:space="2"/>
        </w:pBdr>
        <w:spacing w:after="100" w:before="220"/>
      </w:pPr>
      <w:r>
        <w:rPr>
          <w:rFonts w:ascii="Calibri" w:cs="Calibri" w:eastAsia="Calibri" w:hAnsi="Calibri"/>
          <w:b/>
          <w:bCs/>
          <w:sz w:val="22"/>
          <w:szCs w:val="22"/>
        </w:rPr>
        <w:t xml:space="preserve">PIPELINE GENERATION AND RAMP</w:t>
      </w:r>
    </w:p>
    <w:p>
      <w:pPr>
        <w:spacing w:after="120"/>
      </w:pPr>
      <w:r>
        <w:rPr>
          <w:rFonts w:ascii="Calibri" w:cs="Calibri" w:eastAsia="Calibri" w:hAnsi="Calibri"/>
          <w:i w:val="false"/>
          <w:iCs w:val="false"/>
          <w:sz w:val="21"/>
          <w:szCs w:val="21"/>
        </w:rPr>
        <w:t xml:space="preserve">Your six month and twelve month targets map to a pace I have sustained.</w:t>
      </w:r>
    </w:p>
    <w:p>
      <w:pPr>
        <w:spacing w:after="110"/>
      </w:pPr>
      <w:r>
        <w:rPr>
          <w:rFonts w:ascii="Calibri" w:cs="Calibri" w:eastAsia="Calibri" w:hAnsi="Calibri"/>
          <w:b/>
          <w:bCs/>
          <w:sz w:val="21"/>
          <w:szCs w:val="21"/>
        </w:rPr>
        <w:t xml:space="preserve">Pipeline built. </w:t>
      </w:r>
      <w:r>
        <w:rPr>
          <w:rFonts w:ascii="Calibri" w:cs="Calibri" w:eastAsia="Calibri" w:hAnsi="Calibri"/>
          <w:sz w:val="21"/>
          <w:szCs w:val="21"/>
        </w:rPr>
        <w:t xml:space="preserve">More than 4M across 35 enterprise accounts at Cloudflare. More than 5M qualified at Gigamon. Five enterprise logos opened in year one at Analyst1 from a standing start.</w:t>
      </w:r>
    </w:p>
    <w:p>
      <w:pPr>
        <w:spacing w:after="110"/>
      </w:pPr>
      <w:r>
        <w:rPr>
          <w:rFonts w:ascii="Calibri" w:cs="Calibri" w:eastAsia="Calibri" w:hAnsi="Calibri"/>
          <w:b/>
          <w:bCs/>
          <w:sz w:val="21"/>
          <w:szCs w:val="21"/>
        </w:rPr>
        <w:t xml:space="preserve">Activity model. </w:t>
      </w:r>
      <w:r>
        <w:rPr>
          <w:rFonts w:ascii="Calibri" w:cs="Calibri" w:eastAsia="Calibri" w:hAnsi="Calibri"/>
          <w:sz w:val="21"/>
          <w:szCs w:val="21"/>
        </w:rPr>
        <w:t xml:space="preserve">Named target account list built from firmographic and technology stack research, executive mapping before first contact, and a multi touch cadence run personally across email, phone and social.</w:t>
      </w:r>
    </w:p>
    <w:p>
      <w:pPr>
        <w:spacing w:after="110"/>
      </w:pPr>
      <w:r>
        <w:rPr>
          <w:rFonts w:ascii="Calibri" w:cs="Calibri" w:eastAsia="Calibri" w:hAnsi="Calibri"/>
          <w:b/>
          <w:bCs/>
          <w:sz w:val="21"/>
          <w:szCs w:val="21"/>
        </w:rPr>
        <w:t xml:space="preserve">Forecast. </w:t>
      </w:r>
      <w:r>
        <w:rPr>
          <w:rFonts w:ascii="Calibri" w:cs="Calibri" w:eastAsia="Calibri" w:hAnsi="Calibri"/>
          <w:sz w:val="21"/>
          <w:szCs w:val="21"/>
        </w:rPr>
        <w:t xml:space="preserve">MEDDPICC as a gate before commit. Accuracy inside ten percent, managed in Salesforce and Clari at prior employers and HubSpot today.</w:t>
      </w:r>
    </w:p>
    <w:p>
      <w:pPr>
        <w:spacing w:after="110"/>
      </w:pPr>
      <w:r>
        <w:rPr>
          <w:rFonts w:ascii="Calibri" w:cs="Calibri" w:eastAsia="Calibri" w:hAnsi="Calibri"/>
          <w:b/>
          <w:bCs/>
          <w:sz w:val="21"/>
          <w:szCs w:val="21"/>
        </w:rPr>
        <w:t xml:space="preserve">Territory plan. </w:t>
      </w:r>
      <w:r>
        <w:rPr>
          <w:rFonts w:ascii="Calibri" w:cs="Calibri" w:eastAsia="Calibri" w:hAnsi="Calibri"/>
          <w:sz w:val="21"/>
          <w:szCs w:val="21"/>
        </w:rPr>
        <w:t xml:space="preserve">Segment by size and technology footprint, tier by whether an incumbent contract is approaching renewal, layer partner coverage, then sequence against the length of the cycle.</w:t>
      </w:r>
    </w:p>
    <w:p>
      <w:pPr>
        <w:pBdr>
          <w:bottom w:val="single" w:color="888888" w:sz="6" w:space="2"/>
        </w:pBdr>
        <w:spacing w:after="100" w:before="220"/>
      </w:pPr>
      <w:r>
        <w:rPr>
          <w:rFonts w:ascii="Calibri" w:cs="Calibri" w:eastAsia="Calibri" w:hAnsi="Calibri"/>
          <w:b/>
          <w:bCs/>
          <w:sz w:val="22"/>
          <w:szCs w:val="22"/>
        </w:rPr>
        <w:t xml:space="preserve">REPRESENTATIVE DEALS</w:t>
      </w:r>
    </w:p>
    <w:p>
      <w:pPr>
        <w:spacing w:after="110"/>
      </w:pPr>
      <w:r>
        <w:rPr>
          <w:rFonts w:ascii="Calibri" w:cs="Calibri" w:eastAsia="Calibri" w:hAnsi="Calibri"/>
          <w:b/>
          <w:bCs/>
          <w:sz w:val="21"/>
          <w:szCs w:val="21"/>
        </w:rPr>
        <w:t xml:space="preserve">Centene, 5M annual enterprise agreement, Red Hat. </w:t>
      </w:r>
      <w:r>
        <w:rPr>
          <w:rFonts w:ascii="Calibri" w:cs="Calibri" w:eastAsia="Calibri" w:hAnsi="Calibri"/>
          <w:sz w:val="21"/>
          <w:szCs w:val="21"/>
        </w:rPr>
        <w:t xml:space="preserve">The largest of my career. Entered through an infrastructure director, built the case on standardization and support economics, secured executive sponsorship in the CIO organization, and personally worked the buying committee, procurement, security review and legal.</w:t>
      </w:r>
    </w:p>
    <w:p>
      <w:pPr>
        <w:spacing w:after="110"/>
      </w:pPr>
      <w:r>
        <w:rPr>
          <w:rFonts w:ascii="Calibri" w:cs="Calibri" w:eastAsia="Calibri" w:hAnsi="Calibri"/>
          <w:b/>
          <w:bCs/>
          <w:sz w:val="21"/>
          <w:szCs w:val="21"/>
        </w:rPr>
        <w:t xml:space="preserve">SLB, Analyst1. </w:t>
      </w:r>
      <w:r>
        <w:rPr>
          <w:rFonts w:ascii="Calibri" w:cs="Calibri" w:eastAsia="Calibri" w:hAnsi="Calibri"/>
          <w:sz w:val="21"/>
          <w:szCs w:val="21"/>
        </w:rPr>
        <w:t xml:space="preserve">Houston headquartered energy technology company opened from outbound, sold into a global security organization with a demanding governance standard.</w:t>
      </w:r>
    </w:p>
    <w:p>
      <w:pPr>
        <w:spacing w:after="110"/>
      </w:pPr>
      <w:r>
        <w:rPr>
          <w:rFonts w:ascii="Calibri" w:cs="Calibri" w:eastAsia="Calibri" w:hAnsi="Calibri"/>
          <w:b/>
          <w:bCs/>
          <w:sz w:val="21"/>
          <w:szCs w:val="21"/>
        </w:rPr>
        <w:t xml:space="preserve">Ascension, Enterprise Holdings, Panera Bread and Mastercard, Red Hat. </w:t>
      </w:r>
      <w:r>
        <w:rPr>
          <w:rFonts w:ascii="Calibri" w:cs="Calibri" w:eastAsia="Calibri" w:hAnsi="Calibri"/>
          <w:sz w:val="21"/>
          <w:szCs w:val="21"/>
        </w:rPr>
        <w:t xml:space="preserve">Joint wins with World Wide Technology inside an eight person pursuit team I quarterbacked.</w:t>
      </w:r>
    </w:p>
    <w:p>
      <w:pPr>
        <w:pBdr>
          <w:bottom w:val="single" w:color="888888" w:sz="6" w:space="2"/>
        </w:pBdr>
        <w:spacing w:after="100" w:before="220"/>
      </w:pPr>
      <w:r>
        <w:rPr>
          <w:rFonts w:ascii="Calibri" w:cs="Calibri" w:eastAsia="Calibri" w:hAnsi="Calibri"/>
          <w:b/>
          <w:bCs/>
          <w:sz w:val="22"/>
          <w:szCs w:val="22"/>
        </w:rPr>
        <w:t xml:space="preserve">CREDENTIALS</w:t>
      </w:r>
    </w:p>
    <w:p>
      <w:pPr>
        <w:spacing w:after="120"/>
      </w:pPr>
      <w:r>
        <w:rPr>
          <w:rFonts w:ascii="Calibri" w:cs="Calibri" w:eastAsia="Calibri" w:hAnsi="Calibri"/>
          <w:i w:val="false"/>
          <w:iCs w:val="false"/>
          <w:sz w:val="21"/>
          <w:szCs w:val="21"/>
        </w:rPr>
        <w:t xml:space="preserve">MBA and BSBA, Sam M. Walton College of Business, University of Arkansas.</w:t>
      </w:r>
    </w:p>
    <w:p>
      <w:pPr>
        <w:spacing w:after="0"/>
      </w:pPr>
      <w:r>
        <w:rPr>
          <w:rFonts w:ascii="Calibri" w:cs="Calibri" w:eastAsia="Calibri" w:hAnsi="Calibri"/>
          <w:i w:val="false"/>
          <w:iCs w:val="false"/>
          <w:sz w:val="21"/>
          <w:szCs w:val="21"/>
        </w:rPr>
        <w:t xml:space="preserve">References available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dc:title>
  <dc:creator>Ken Clemons</dc:creator>
  <cp:lastModifiedBy>Ken Clemons</cp:lastModifiedBy>
  <cp:revision>1</cp:revision>
  <dcterms:created xsi:type="dcterms:W3CDTF">2026-08-17T19:04:49.716Z</dcterms:created>
  <dcterms:modified xsi:type="dcterms:W3CDTF">2026-08-17T19:04:49.717Z</dcterms:modified>
</cp:coreProperties>
</file>

<file path=docProps/custom.xml><?xml version="1.0" encoding="utf-8"?>
<Properties xmlns="http://schemas.openxmlformats.org/officeDocument/2006/custom-properties" xmlns:vt="http://schemas.openxmlformats.org/officeDocument/2006/docPropsVTypes"/>
</file>