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DA856" w14:textId="77777777" w:rsidR="00CF5AD0" w:rsidRPr="00CF5AD0" w:rsidRDefault="00CF5AD0" w:rsidP="00CF5AD0">
      <w:pPr>
        <w:rPr>
          <w:b/>
          <w:bCs/>
        </w:rPr>
      </w:pPr>
      <w:r w:rsidRPr="00CF5AD0">
        <w:rPr>
          <w:b/>
          <w:bCs/>
        </w:rPr>
        <w:t>ISO 27001: Preparing for Surveillance Audits — Step by Step</w:t>
      </w:r>
    </w:p>
    <w:p w14:paraId="2E3C62B1" w14:textId="77777777" w:rsidR="00CF5AD0" w:rsidRPr="00CF5AD0" w:rsidRDefault="00CF5AD0" w:rsidP="00CF5AD0">
      <w:r w:rsidRPr="00CF5AD0">
        <w:t>Published 9/2025</w:t>
      </w:r>
      <w:r w:rsidRPr="00CF5AD0">
        <w:br/>
        <w:t xml:space="preserve">MP4 | Video: h264, 1920x1080 | Audio: AAC, 44.1 </w:t>
      </w:r>
      <w:proofErr w:type="spellStart"/>
      <w:r w:rsidRPr="00CF5AD0">
        <w:t>KHz</w:t>
      </w:r>
      <w:proofErr w:type="spellEnd"/>
      <w:r w:rsidRPr="00CF5AD0">
        <w:t>, 2 Ch</w:t>
      </w:r>
      <w:r w:rsidRPr="00CF5AD0">
        <w:br/>
        <w:t>Language: English | Duration: 1h 10m | Size: 652 MB</w:t>
      </w:r>
    </w:p>
    <w:p w14:paraId="5DA2ECE0" w14:textId="77777777" w:rsidR="00CF5AD0" w:rsidRPr="00CF5AD0" w:rsidRDefault="00CF5AD0" w:rsidP="00CF5AD0">
      <w:r w:rsidRPr="00CF5AD0">
        <w:t>Master ISO 27001 surveillance audits with scope updates, evidence registers, internal audits, CAPA, and recertification</w:t>
      </w:r>
    </w:p>
    <w:p w14:paraId="4E663FA4" w14:textId="77777777" w:rsidR="00CF5AD0" w:rsidRPr="00CF5AD0" w:rsidRDefault="00CF5AD0" w:rsidP="00CF5AD0">
      <w:r w:rsidRPr="00CF5AD0">
        <w:t>What you'll learn</w:t>
      </w:r>
      <w:r w:rsidRPr="00CF5AD0">
        <w:br/>
        <w:t>Plan and prepare effectively for ISO/IEC 27001 surveillance audits with a structured, step-by-step framework.</w:t>
      </w:r>
      <w:r w:rsidRPr="00CF5AD0">
        <w:br/>
        <w:t>Build and maintain scope, evidence registers, risk assessments, and Statements of Applicability for audit readiness.</w:t>
      </w:r>
      <w:r w:rsidRPr="00CF5AD0">
        <w:br/>
        <w:t>Conduct risk-based internal audits, manage nonconformities, and implement corrective and preventive actions (CAPA).</w:t>
      </w:r>
      <w:r w:rsidRPr="00CF5AD0">
        <w:br/>
        <w:t xml:space="preserve">Apply a practical Surveillance Playbook using the </w:t>
      </w:r>
      <w:proofErr w:type="spellStart"/>
      <w:r w:rsidRPr="00CF5AD0">
        <w:t>InfoSure</w:t>
      </w:r>
      <w:proofErr w:type="spellEnd"/>
      <w:r w:rsidRPr="00CF5AD0">
        <w:t xml:space="preserve"> Ltd. case study to sustain certification and prepare for recertification.</w:t>
      </w:r>
    </w:p>
    <w:p w14:paraId="43A4507E" w14:textId="77777777" w:rsidR="00CF5AD0" w:rsidRPr="00CF5AD0" w:rsidRDefault="00CF5AD0" w:rsidP="00CF5AD0">
      <w:r w:rsidRPr="00CF5AD0">
        <w:t>Requirements</w:t>
      </w:r>
      <w:r w:rsidRPr="00CF5AD0">
        <w:br/>
        <w:t>Understanding of ISO/IEC 27001 is recommended.</w:t>
      </w:r>
    </w:p>
    <w:p w14:paraId="11B0CA6B" w14:textId="77777777" w:rsidR="00CF5AD0" w:rsidRPr="00CF5AD0" w:rsidRDefault="00CF5AD0" w:rsidP="00CF5AD0">
      <w:r w:rsidRPr="00CF5AD0">
        <w:t>Description</w:t>
      </w:r>
      <w:r w:rsidRPr="00CF5AD0">
        <w:br/>
        <w:t xml:space="preserve">This course contains the use of artificial intelligence. Led by Dr. Amar Massoud, a seasoned expert with decades of academic and professional experience, it combines cutting-edge AI support with human insight to deliver content that is precise, practical, and easy to follow. You’ll gain the clarity of structured learning and the confidence of being guided by a recognized </w:t>
      </w:r>
      <w:proofErr w:type="spellStart"/>
      <w:r w:rsidRPr="00CF5AD0">
        <w:t>authority.ISO</w:t>
      </w:r>
      <w:proofErr w:type="spellEnd"/>
      <w:r w:rsidRPr="00CF5AD0">
        <w:t xml:space="preserve">/IEC 27001 certification is only the beginning of the journey. The true challenge lies in maintaining compliance and demonstrating continual improvement through surveillance audits. Many organizations underestimate these audits, treating them as less important than the initial certification. In reality, surveillance audits are rigorous checkpoints—if handled poorly, they can lead to major nonconformities, suspension of certification, or reputational </w:t>
      </w:r>
      <w:proofErr w:type="spellStart"/>
      <w:proofErr w:type="gramStart"/>
      <w:r w:rsidRPr="00CF5AD0">
        <w:t>damage.This</w:t>
      </w:r>
      <w:proofErr w:type="spellEnd"/>
      <w:proofErr w:type="gramEnd"/>
      <w:r w:rsidRPr="00CF5AD0">
        <w:t xml:space="preserve"> course provides a step-by-step roadmap to prepare for and succeed in surveillance audits with confidence. Using the model company </w:t>
      </w:r>
      <w:proofErr w:type="spellStart"/>
      <w:r w:rsidRPr="00CF5AD0">
        <w:t>InfoSure</w:t>
      </w:r>
      <w:proofErr w:type="spellEnd"/>
      <w:r w:rsidRPr="00CF5AD0">
        <w:t xml:space="preserve"> Ltd., you will learn how to manage scope changes, refresh risk assessments, update the Statement of Applicability (</w:t>
      </w:r>
      <w:proofErr w:type="spellStart"/>
      <w:r w:rsidRPr="00CF5AD0">
        <w:t>SoA</w:t>
      </w:r>
      <w:proofErr w:type="spellEnd"/>
      <w:r w:rsidRPr="00CF5AD0">
        <w:t xml:space="preserve">), and build a structured evidence register. You will also master risk-based internal auditing, handling nonconformities with root cause analysis, and implementing corrective and preventive actions (CAPA) that satisfy </w:t>
      </w:r>
      <w:proofErr w:type="spellStart"/>
      <w:proofErr w:type="gramStart"/>
      <w:r w:rsidRPr="00CF5AD0">
        <w:t>auditors.A</w:t>
      </w:r>
      <w:proofErr w:type="spellEnd"/>
      <w:proofErr w:type="gramEnd"/>
      <w:r w:rsidRPr="00CF5AD0">
        <w:t xml:space="preserve"> strong focus is placed on practical deliverables. Each lesson is tied to templates such as audit calendars, evidence registers, KPI dashboards, and CAPA trackers. You will also explore how to run Management Reviews that demonstrate leadership engagement, prepare audit logistics for both on-site and hybrid models, and submit structured post-audit responses. The final part of the course builds a recertification roadmap, ensuring your ISMS matures over the three-year cycle and remains </w:t>
      </w:r>
      <w:proofErr w:type="spellStart"/>
      <w:r w:rsidRPr="00CF5AD0">
        <w:t>resilient.By</w:t>
      </w:r>
      <w:proofErr w:type="spellEnd"/>
      <w:r w:rsidRPr="00CF5AD0">
        <w:t xml:space="preserve"> the end of this course, you will be able </w:t>
      </w:r>
      <w:proofErr w:type="spellStart"/>
      <w:r w:rsidRPr="00CF5AD0">
        <w:t>to:Plan</w:t>
      </w:r>
      <w:proofErr w:type="spellEnd"/>
      <w:r w:rsidRPr="00CF5AD0">
        <w:t xml:space="preserve"> and execute surveillance audit preparation with structured </w:t>
      </w:r>
      <w:proofErr w:type="spellStart"/>
      <w:r w:rsidRPr="00CF5AD0">
        <w:t>checklists.Provide</w:t>
      </w:r>
      <w:proofErr w:type="spellEnd"/>
      <w:r w:rsidRPr="00CF5AD0">
        <w:t xml:space="preserve"> auditors with clear, traceable, risk-based </w:t>
      </w:r>
      <w:proofErr w:type="spellStart"/>
      <w:r w:rsidRPr="00CF5AD0">
        <w:t>evidence.Manage</w:t>
      </w:r>
      <w:proofErr w:type="spellEnd"/>
      <w:r w:rsidRPr="00CF5AD0">
        <w:t xml:space="preserve"> suppliers, customers, and third-party risks </w:t>
      </w:r>
      <w:proofErr w:type="spellStart"/>
      <w:r w:rsidRPr="00CF5AD0">
        <w:t>effectively.Handle</w:t>
      </w:r>
      <w:proofErr w:type="spellEnd"/>
      <w:r w:rsidRPr="00CF5AD0">
        <w:t xml:space="preserve"> nonconformities and CAPA to demonstrate continual </w:t>
      </w:r>
      <w:proofErr w:type="spellStart"/>
      <w:r w:rsidRPr="00CF5AD0">
        <w:t>improvement.Build</w:t>
      </w:r>
      <w:proofErr w:type="spellEnd"/>
      <w:r w:rsidRPr="00CF5AD0">
        <w:t xml:space="preserve"> a reusable Surveillance Playbook to sustain long-term ISO 27001 </w:t>
      </w:r>
      <w:proofErr w:type="spellStart"/>
      <w:r w:rsidRPr="00CF5AD0">
        <w:t>compliance.Whether</w:t>
      </w:r>
      <w:proofErr w:type="spellEnd"/>
      <w:r w:rsidRPr="00CF5AD0">
        <w:t xml:space="preserve"> you are an Information Security Manager, Internal Auditor, Compliance Officer, or IT Governance Professional, this course will equip you with the tools and confidence to treat surveillance audits not as stressful events, but as opportunities to prove ISMS maturity and strengthen stakeholder trust.</w:t>
      </w:r>
    </w:p>
    <w:p w14:paraId="465219C7" w14:textId="77777777" w:rsidR="00CF5AD0" w:rsidRPr="00CF5AD0" w:rsidRDefault="00CF5AD0" w:rsidP="00CF5AD0">
      <w:r w:rsidRPr="00CF5AD0">
        <w:t>Who this course is for</w:t>
      </w:r>
      <w:r w:rsidRPr="00CF5AD0">
        <w:br/>
        <w:t>Information Security Managers, Internal Auditors, Compliance Officers, IT Governance Professionals, and ISMS practitioners preparing for ISO/IEC 27001 surveillance audits.</w:t>
      </w:r>
    </w:p>
    <w:p w14:paraId="112EDA73" w14:textId="77777777" w:rsidR="005A49D3" w:rsidRPr="00CF5AD0" w:rsidRDefault="005A49D3" w:rsidP="00CF5AD0"/>
    <w:sectPr w:rsidR="005A49D3" w:rsidRPr="00CF5AD0" w:rsidSect="00CF5AD0">
      <w:pgSz w:w="11906" w:h="16838"/>
      <w:pgMar w:top="680" w:right="1021" w:bottom="680" w:left="6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AD0"/>
    <w:rsid w:val="005A49D3"/>
    <w:rsid w:val="0069313A"/>
    <w:rsid w:val="00CF5AD0"/>
    <w:rsid w:val="00D34E0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AEEC0"/>
  <w15:chartTrackingRefBased/>
  <w15:docId w15:val="{C2CBB3C0-2E35-4C1F-BB87-8C6D06EB0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5A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5A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5A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5A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5A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5A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5A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5A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5A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5A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5A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5A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5A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5A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5A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5A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5A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5AD0"/>
    <w:rPr>
      <w:rFonts w:eastAsiaTheme="majorEastAsia" w:cstheme="majorBidi"/>
      <w:color w:val="272727" w:themeColor="text1" w:themeTint="D8"/>
    </w:rPr>
  </w:style>
  <w:style w:type="paragraph" w:styleId="Title">
    <w:name w:val="Title"/>
    <w:basedOn w:val="Normal"/>
    <w:next w:val="Normal"/>
    <w:link w:val="TitleChar"/>
    <w:uiPriority w:val="10"/>
    <w:qFormat/>
    <w:rsid w:val="00CF5A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5A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5A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5A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5AD0"/>
    <w:pPr>
      <w:spacing w:before="160"/>
      <w:jc w:val="center"/>
    </w:pPr>
    <w:rPr>
      <w:i/>
      <w:iCs/>
      <w:color w:val="404040" w:themeColor="text1" w:themeTint="BF"/>
    </w:rPr>
  </w:style>
  <w:style w:type="character" w:customStyle="1" w:styleId="QuoteChar">
    <w:name w:val="Quote Char"/>
    <w:basedOn w:val="DefaultParagraphFont"/>
    <w:link w:val="Quote"/>
    <w:uiPriority w:val="29"/>
    <w:rsid w:val="00CF5AD0"/>
    <w:rPr>
      <w:i/>
      <w:iCs/>
      <w:color w:val="404040" w:themeColor="text1" w:themeTint="BF"/>
    </w:rPr>
  </w:style>
  <w:style w:type="paragraph" w:styleId="ListParagraph">
    <w:name w:val="List Paragraph"/>
    <w:basedOn w:val="Normal"/>
    <w:uiPriority w:val="34"/>
    <w:qFormat/>
    <w:rsid w:val="00CF5AD0"/>
    <w:pPr>
      <w:ind w:left="720"/>
      <w:contextualSpacing/>
    </w:pPr>
  </w:style>
  <w:style w:type="character" w:styleId="IntenseEmphasis">
    <w:name w:val="Intense Emphasis"/>
    <w:basedOn w:val="DefaultParagraphFont"/>
    <w:uiPriority w:val="21"/>
    <w:qFormat/>
    <w:rsid w:val="00CF5AD0"/>
    <w:rPr>
      <w:i/>
      <w:iCs/>
      <w:color w:val="2F5496" w:themeColor="accent1" w:themeShade="BF"/>
    </w:rPr>
  </w:style>
  <w:style w:type="paragraph" w:styleId="IntenseQuote">
    <w:name w:val="Intense Quote"/>
    <w:basedOn w:val="Normal"/>
    <w:next w:val="Normal"/>
    <w:link w:val="IntenseQuoteChar"/>
    <w:uiPriority w:val="30"/>
    <w:qFormat/>
    <w:rsid w:val="00CF5A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5AD0"/>
    <w:rPr>
      <w:i/>
      <w:iCs/>
      <w:color w:val="2F5496" w:themeColor="accent1" w:themeShade="BF"/>
    </w:rPr>
  </w:style>
  <w:style w:type="character" w:styleId="IntenseReference">
    <w:name w:val="Intense Reference"/>
    <w:basedOn w:val="DefaultParagraphFont"/>
    <w:uiPriority w:val="32"/>
    <w:qFormat/>
    <w:rsid w:val="00CF5AD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538</Words>
  <Characters>3069</Characters>
  <Application>Microsoft Office Word</Application>
  <DocSecurity>0</DocSecurity>
  <Lines>25</Lines>
  <Paragraphs>7</Paragraphs>
  <ScaleCrop>false</ScaleCrop>
  <Company/>
  <LinksUpToDate>false</LinksUpToDate>
  <CharactersWithSpaces>3600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 Ah Kwang</dc:creator>
  <cp:keywords/>
  <dc:description/>
  <cp:lastModifiedBy>Han Ah Kwang</cp:lastModifiedBy>
  <cp:revision>1</cp:revision>
  <dcterms:created xsi:type="dcterms:W3CDTF">2025-09-30T05:53:00Z</dcterms:created>
  <dcterms:modified xsi:type="dcterms:W3CDTF">2025-09-30T05:54:00Z</dcterms:modified>
</cp:coreProperties>
</file>