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jc w:val="center"/>
        <w:rPr>
          <w:b/>
          <w:sz w:val="28"/>
        </w:rPr>
      </w:pPr>
      <w:r>
        <w:rPr>
          <w:b/>
          <w:sz w:val="28"/>
        </w:rPr>
        <w:t>Liste des changements manuscrit v2 Benoit</w:t>
      </w:r>
      <w:bookmarkStart w:id="0" w:name="_GoBack"/>
      <w:bookmarkEnd w:id="0"/>
    </w:p>
    <w:p>
      <w:r>
        <w:t>En plus de toutes les petites corrections orthographiques, grammaticales et reformulation diverses que je n’ai pas recensées de manière exhaustives, voici une liste des changements plus significatifs, avec notamment les modifications liées à vos remarques.</w:t>
      </w:r>
    </w:p>
    <w:p>
      <w:r>
        <w:rPr>
          <w:u w:val="single"/>
        </w:rPr>
        <w:t>Page de garde :</w:t>
      </w:r>
      <w:r>
        <w:t xml:space="preserve"> jury mis au propre.</w:t>
      </w:r>
    </w:p>
    <w:p>
      <w:r>
        <w:rPr>
          <w:u w:val="single"/>
        </w:rPr>
        <w:t>Pp. iii, v et vii :</w:t>
      </w:r>
      <w:r>
        <w:t xml:space="preserve"> ajout des résumés en français et en anglais et de l’en-tête pour les remerciements</w:t>
      </w:r>
    </w:p>
    <w:p>
      <w:r>
        <w:rPr>
          <w:u w:val="single"/>
        </w:rPr>
        <w:t>P. ix, table de matières :</w:t>
      </w:r>
      <w:r>
        <w:t xml:space="preserve"> modification de certains titres, notamment des titres de partie :</w:t>
      </w:r>
    </w:p>
    <w:p>
      <w:r>
        <w:t>Initialement :</w:t>
      </w:r>
    </w:p>
    <w:p>
      <w:pPr>
        <w:pStyle w:val="ListParagraph"/>
        <w:numPr>
          <w:ilvl w:val="0"/>
          <w:numId w:val="1"/>
        </w:numPr>
      </w:pPr>
      <w:r>
        <w:t>Etat de l’art : partie théorique</w:t>
      </w:r>
    </w:p>
    <w:p>
      <w:pPr>
        <w:pStyle w:val="ListParagraph"/>
        <w:numPr>
          <w:ilvl w:val="0"/>
          <w:numId w:val="1"/>
        </w:numPr>
      </w:pPr>
      <w:r>
        <w:t>Première approche : modèles de vision</w:t>
      </w:r>
    </w:p>
    <w:p>
      <w:pPr>
        <w:pStyle w:val="ListParagraph"/>
        <w:numPr>
          <w:ilvl w:val="0"/>
          <w:numId w:val="1"/>
        </w:numPr>
      </w:pPr>
      <w:r>
        <w:t>Deuxième approche : score de réalisme</w:t>
      </w:r>
    </w:p>
    <w:p>
      <w:pPr>
        <w:pStyle w:val="ListParagraph"/>
        <w:numPr>
          <w:ilvl w:val="0"/>
          <w:numId w:val="1"/>
        </w:numPr>
      </w:pPr>
      <w:r>
        <w:t>Partie expérimentale : contraste et luminance</w:t>
      </w:r>
    </w:p>
    <w:p>
      <w:pPr>
        <w:pStyle w:val="ListParagraph"/>
        <w:numPr>
          <w:ilvl w:val="0"/>
          <w:numId w:val="1"/>
        </w:numPr>
      </w:pPr>
      <w:r>
        <w:t>Partie expérimentale : latence</w:t>
      </w:r>
    </w:p>
    <w:p>
      <w:r>
        <w:t>Nouvellement :</w:t>
      </w:r>
    </w:p>
    <w:p>
      <w:pPr>
        <w:pStyle w:val="ListParagraph"/>
        <w:numPr>
          <w:ilvl w:val="0"/>
          <w:numId w:val="2"/>
        </w:numPr>
      </w:pPr>
      <w:r>
        <w:t>Définition du sujet et étude des composantes de la vision</w:t>
      </w:r>
    </w:p>
    <w:p>
      <w:pPr>
        <w:pStyle w:val="ListParagraph"/>
        <w:numPr>
          <w:ilvl w:val="0"/>
          <w:numId w:val="2"/>
        </w:numPr>
      </w:pPr>
      <w:r>
        <w:t>Modèles de vision en Réalité Virtuelle</w:t>
      </w:r>
    </w:p>
    <w:p>
      <w:pPr>
        <w:pStyle w:val="ListParagraph"/>
        <w:numPr>
          <w:ilvl w:val="0"/>
          <w:numId w:val="2"/>
        </w:numPr>
      </w:pPr>
      <w:r>
        <w:t>Score de réalisme visuel en Réalité Virtuelle</w:t>
      </w:r>
    </w:p>
    <w:p>
      <w:pPr>
        <w:pStyle w:val="ListParagraph"/>
        <w:numPr>
          <w:ilvl w:val="0"/>
          <w:numId w:val="2"/>
        </w:numPr>
      </w:pPr>
      <w:r>
        <w:t>Expérimentation : confrontation d'un modèle de performance visuelle pour le critère de contraste - luminance</w:t>
      </w:r>
    </w:p>
    <w:p>
      <w:pPr>
        <w:pStyle w:val="ListParagraph"/>
        <w:numPr>
          <w:ilvl w:val="0"/>
          <w:numId w:val="2"/>
        </w:numPr>
      </w:pPr>
      <w:r>
        <w:t>Expérimentation : raffinement du critère de latence</w:t>
      </w:r>
    </w:p>
    <w:p>
      <w:r>
        <w:t xml:space="preserve">De même, j’ai retiré toutes les références des titres de section/paragraphe. Par exemple, « Modèles de </w:t>
      </w:r>
      <w:proofErr w:type="spellStart"/>
      <w:r>
        <w:t>Mantiuk</w:t>
      </w:r>
      <w:proofErr w:type="spellEnd"/>
      <w:r>
        <w:t xml:space="preserve"> et al. » au lieu de « Modèles de </w:t>
      </w:r>
      <w:proofErr w:type="spellStart"/>
      <w:r>
        <w:t>Mantiuk</w:t>
      </w:r>
      <w:proofErr w:type="spellEnd"/>
      <w:r>
        <w:t xml:space="preserve"> et al. [2003, 2004, 2007] ».</w:t>
      </w:r>
    </w:p>
    <w:p>
      <w:r>
        <w:t>J’ai également préparé une version du manuscrit sans remise à 0 de la numérotation des chapitres à chaque début de partie, pour comparaison.</w:t>
      </w:r>
    </w:p>
    <w:p>
      <w:r>
        <w:rPr>
          <w:u w:val="single"/>
        </w:rPr>
        <w:t>P. xv, table des figures :</w:t>
      </w:r>
      <w:r>
        <w:t xml:space="preserve"> de manière générale, j’ai remis au propre les titres de mes figures pour enlever notamment tous les « image tirée de ABC et al., XXXX » (ils sont toujours dans le texte sous les figures mais plus dans la table des figures).</w:t>
      </w:r>
    </w:p>
    <w:p>
      <w:r>
        <w:rPr>
          <w:u w:val="single"/>
        </w:rPr>
        <w:t>P. 70, avant dernier paragraphe :</w:t>
      </w:r>
      <w:r>
        <w:t xml:space="preserve"> j’ai modifié ma phrase pour que ce soit plus clair que l’affirmation sur les 8 couleurs visibles à la fois est bien tirée de la référence dont je parle dans cette section.</w:t>
      </w:r>
    </w:p>
    <w:p>
      <w:r>
        <w:rPr>
          <w:u w:val="single"/>
        </w:rPr>
        <w:t>Pp. 78-80, section 3.1 :</w:t>
      </w:r>
      <w:r>
        <w:t xml:space="preserve"> renommage des sous-sections et reprise du texte pour coller à la remarque de Frédéric sur la mise en avant des « anciennes » version du modèle. J’ai étoffé le premier paragraphe (sous 3.1 Propositions préliminaires).</w:t>
      </w:r>
    </w:p>
    <w:p>
      <w:r>
        <w:rPr>
          <w:u w:val="single"/>
        </w:rPr>
        <w:t>P. 71, figure 28 :</w:t>
      </w:r>
      <w:r>
        <w:t xml:space="preserve"> remise dans le bon sens.</w:t>
      </w:r>
    </w:p>
    <w:p>
      <w:r>
        <w:rPr>
          <w:u w:val="single"/>
        </w:rPr>
        <w:t>P. 75, figure 30 :</w:t>
      </w:r>
      <w:r>
        <w:t xml:space="preserve"> passage en noir et blanc.</w:t>
      </w:r>
    </w:p>
    <w:p>
      <w:r>
        <w:rPr>
          <w:u w:val="single"/>
        </w:rPr>
        <w:t>P. 79, figure 31 :</w:t>
      </w:r>
      <w:r>
        <w:t xml:space="preserve"> passage en noir et blanc.</w:t>
      </w:r>
    </w:p>
    <w:p>
      <w:r>
        <w:rPr>
          <w:u w:val="single"/>
        </w:rPr>
        <w:t>P. 80, figure 32 :</w:t>
      </w:r>
      <w:r>
        <w:t xml:space="preserve"> passage en noir et blanc + refaite au niveau des facteurs limitants pour coller au texte.</w:t>
      </w:r>
    </w:p>
    <w:p>
      <w:r>
        <w:rPr>
          <w:u w:val="single"/>
        </w:rPr>
        <w:lastRenderedPageBreak/>
        <w:t>P. 81, figure 33 :</w:t>
      </w:r>
      <w:r>
        <w:t xml:space="preserve"> refaite en noir et blanc + refonte pour tenir dans le bon sens.</w:t>
      </w:r>
    </w:p>
    <w:p>
      <w:r>
        <w:rPr>
          <w:u w:val="single"/>
        </w:rPr>
        <w:t>P. 89, figure 37 :</w:t>
      </w:r>
      <w:r>
        <w:t xml:space="preserve"> ajout de lignes en pointillés et de flèches pour clarifier la figure.</w:t>
      </w:r>
    </w:p>
    <w:p>
      <w:r>
        <w:rPr>
          <w:u w:val="single"/>
        </w:rPr>
        <w:t>P. 93, section 4.3.4 Fonction de notation du critère (dans 4.3 Couleurs) :</w:t>
      </w:r>
      <w:r>
        <w:t xml:space="preserve"> j’ai refait tout le paragraphe en changeant notamment la fonction de notation (+équation et graph). Plutôt qu’une simple droite linéaire, je suis passé sur un polynôme (suite à une discussion avec Stéphane). J’ai simplement ajouté le seuil d’acceptation dont je parle dans le texte comme note « 80 ».</w:t>
      </w:r>
    </w:p>
    <w:p>
      <w:r>
        <w:rPr>
          <w:u w:val="single"/>
        </w:rPr>
        <w:t>P. 111, figure 54 :</w:t>
      </w:r>
      <w:r>
        <w:t xml:space="preserve"> j’ai refait la figure pour qu’elle soit plus visible (les traits étaient trop fins)</w:t>
      </w:r>
    </w:p>
    <w:p>
      <w:r>
        <w:rPr>
          <w:u w:val="single"/>
        </w:rPr>
        <w:t>P. 116, figure 55 :</w:t>
      </w:r>
      <w:r>
        <w:t xml:space="preserve"> j’ai refait la figure pour mieux mettre en avant les critères qui bénéficient d’une pondération forte.</w:t>
      </w:r>
    </w:p>
    <w:p>
      <w:r>
        <w:rPr>
          <w:u w:val="single"/>
        </w:rPr>
        <w:t>P. 120, figure 57 :</w:t>
      </w:r>
      <w:r>
        <w:t xml:space="preserve"> j’ai changé de figure pour plus de clarté au profit de la version simplifiée avec seulement les groupes principaux de sujets et non pas tous les sous-groupes + polices et traits d’axe passés en noir pour que ce soit plus visible.</w:t>
      </w:r>
    </w:p>
    <w:p>
      <w:r>
        <w:rPr>
          <w:u w:val="single"/>
        </w:rPr>
        <w:t>Pp. 137 et 139, figures 61 et 62 :</w:t>
      </w:r>
      <w:r>
        <w:t xml:space="preserve"> polices et traits d’axe passés en noir pour que ce soit plus visible.</w:t>
      </w:r>
    </w:p>
    <w:p>
      <w:r>
        <w:rPr>
          <w:u w:val="single"/>
        </w:rPr>
        <w:t>Pp. 142-143, figures 66 à 68 :</w:t>
      </w:r>
      <w:r>
        <w:t xml:space="preserve"> </w:t>
      </w:r>
      <w:r>
        <w:rPr>
          <w:i/>
        </w:rPr>
        <w:t>idem</w:t>
      </w:r>
    </w:p>
    <w:p>
      <w:r>
        <w:rPr>
          <w:u w:val="single"/>
        </w:rPr>
        <w:t>P. 156, figures 72 à 74 :</w:t>
      </w:r>
      <w:r>
        <w:t xml:space="preserve"> </w:t>
      </w:r>
      <w:r>
        <w:rPr>
          <w:i/>
        </w:rPr>
        <w:t>idem</w:t>
      </w:r>
    </w:p>
    <w:p>
      <w:r>
        <w:rPr>
          <w:u w:val="single"/>
        </w:rPr>
        <w:t>P. 175, dernier paragraphe :</w:t>
      </w:r>
      <w:r>
        <w:t xml:space="preserve"> j’ai précisé le temps de récupération entre les passages pour limiter l’accumulation du mal du simulateur.</w:t>
      </w:r>
    </w:p>
    <w:p>
      <w:r>
        <w:rPr>
          <w:u w:val="single"/>
        </w:rPr>
        <w:t>Pp. 182-186, figures 82 à 86 :</w:t>
      </w:r>
      <w:r>
        <w:t xml:space="preserve"> polices et traits d’axe passés en noir pour que ce soit plus visible.</w:t>
      </w:r>
    </w:p>
    <w:p>
      <w:r>
        <w:rPr>
          <w:u w:val="single"/>
        </w:rPr>
        <w:t>Pp. 194-198, figures 88 à 92 :</w:t>
      </w:r>
      <w:r>
        <w:t xml:space="preserve"> figures refaites pour tenir compte du changement sur le critère de couleur. Modification des valeurs dans le texte en conséquence.</w:t>
      </w:r>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F1C27"/>
    <w:multiLevelType w:val="hybridMultilevel"/>
    <w:tmpl w:val="7276A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2B4F93"/>
    <w:multiLevelType w:val="hybridMultilevel"/>
    <w:tmpl w:val="ED9C1C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D7550-5827-4350-AF5B-B951A4A9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711758">
      <w:bodyDiv w:val="1"/>
      <w:marLeft w:val="0"/>
      <w:marRight w:val="0"/>
      <w:marTop w:val="0"/>
      <w:marBottom w:val="0"/>
      <w:divBdr>
        <w:top w:val="none" w:sz="0" w:space="0" w:color="auto"/>
        <w:left w:val="none" w:sz="0" w:space="0" w:color="auto"/>
        <w:bottom w:val="none" w:sz="0" w:space="0" w:color="auto"/>
        <w:right w:val="none" w:sz="0" w:space="0" w:color="auto"/>
      </w:divBdr>
      <w:divsChild>
        <w:div w:id="2099322565">
          <w:marLeft w:val="274"/>
          <w:marRight w:val="0"/>
          <w:marTop w:val="60"/>
          <w:marBottom w:val="0"/>
          <w:divBdr>
            <w:top w:val="none" w:sz="0" w:space="0" w:color="auto"/>
            <w:left w:val="none" w:sz="0" w:space="0" w:color="auto"/>
            <w:bottom w:val="none" w:sz="0" w:space="0" w:color="auto"/>
            <w:right w:val="none" w:sz="0" w:space="0" w:color="auto"/>
          </w:divBdr>
        </w:div>
        <w:div w:id="1811554350">
          <w:marLeft w:val="706"/>
          <w:marRight w:val="0"/>
          <w:marTop w:val="60"/>
          <w:marBottom w:val="0"/>
          <w:divBdr>
            <w:top w:val="none" w:sz="0" w:space="0" w:color="auto"/>
            <w:left w:val="none" w:sz="0" w:space="0" w:color="auto"/>
            <w:bottom w:val="none" w:sz="0" w:space="0" w:color="auto"/>
            <w:right w:val="none" w:sz="0" w:space="0" w:color="auto"/>
          </w:divBdr>
        </w:div>
        <w:div w:id="64689520">
          <w:marLeft w:val="706"/>
          <w:marRight w:val="0"/>
          <w:marTop w:val="60"/>
          <w:marBottom w:val="0"/>
          <w:divBdr>
            <w:top w:val="none" w:sz="0" w:space="0" w:color="auto"/>
            <w:left w:val="none" w:sz="0" w:space="0" w:color="auto"/>
            <w:bottom w:val="none" w:sz="0" w:space="0" w:color="auto"/>
            <w:right w:val="none" w:sz="0" w:space="0" w:color="auto"/>
          </w:divBdr>
        </w:div>
        <w:div w:id="1790196612">
          <w:marLeft w:val="706"/>
          <w:marRight w:val="0"/>
          <w:marTop w:val="60"/>
          <w:marBottom w:val="0"/>
          <w:divBdr>
            <w:top w:val="none" w:sz="0" w:space="0" w:color="auto"/>
            <w:left w:val="none" w:sz="0" w:space="0" w:color="auto"/>
            <w:bottom w:val="none" w:sz="0" w:space="0" w:color="auto"/>
            <w:right w:val="none" w:sz="0" w:space="0" w:color="auto"/>
          </w:divBdr>
        </w:div>
        <w:div w:id="1667702662">
          <w:marLeft w:val="706"/>
          <w:marRight w:val="0"/>
          <w:marTop w:val="60"/>
          <w:marBottom w:val="0"/>
          <w:divBdr>
            <w:top w:val="none" w:sz="0" w:space="0" w:color="auto"/>
            <w:left w:val="none" w:sz="0" w:space="0" w:color="auto"/>
            <w:bottom w:val="none" w:sz="0" w:space="0" w:color="auto"/>
            <w:right w:val="none" w:sz="0" w:space="0" w:color="auto"/>
          </w:divBdr>
        </w:div>
        <w:div w:id="2039043610">
          <w:marLeft w:val="706"/>
          <w:marRight w:val="0"/>
          <w:marTop w:val="60"/>
          <w:marBottom w:val="0"/>
          <w:divBdr>
            <w:top w:val="none" w:sz="0" w:space="0" w:color="auto"/>
            <w:left w:val="none" w:sz="0" w:space="0" w:color="auto"/>
            <w:bottom w:val="none" w:sz="0" w:space="0" w:color="auto"/>
            <w:right w:val="none" w:sz="0" w:space="0" w:color="auto"/>
          </w:divBdr>
        </w:div>
        <w:div w:id="1291017595">
          <w:marLeft w:val="274"/>
          <w:marRight w:val="0"/>
          <w:marTop w:val="60"/>
          <w:marBottom w:val="0"/>
          <w:divBdr>
            <w:top w:val="none" w:sz="0" w:space="0" w:color="auto"/>
            <w:left w:val="none" w:sz="0" w:space="0" w:color="auto"/>
            <w:bottom w:val="none" w:sz="0" w:space="0" w:color="auto"/>
            <w:right w:val="none" w:sz="0" w:space="0" w:color="auto"/>
          </w:divBdr>
        </w:div>
        <w:div w:id="1853836899">
          <w:marLeft w:val="706"/>
          <w:marRight w:val="0"/>
          <w:marTop w:val="60"/>
          <w:marBottom w:val="0"/>
          <w:divBdr>
            <w:top w:val="none" w:sz="0" w:space="0" w:color="auto"/>
            <w:left w:val="none" w:sz="0" w:space="0" w:color="auto"/>
            <w:bottom w:val="none" w:sz="0" w:space="0" w:color="auto"/>
            <w:right w:val="none" w:sz="0" w:space="0" w:color="auto"/>
          </w:divBdr>
        </w:div>
        <w:div w:id="1397778809">
          <w:marLeft w:val="706"/>
          <w:marRight w:val="0"/>
          <w:marTop w:val="60"/>
          <w:marBottom w:val="0"/>
          <w:divBdr>
            <w:top w:val="none" w:sz="0" w:space="0" w:color="auto"/>
            <w:left w:val="none" w:sz="0" w:space="0" w:color="auto"/>
            <w:bottom w:val="none" w:sz="0" w:space="0" w:color="auto"/>
            <w:right w:val="none" w:sz="0" w:space="0" w:color="auto"/>
          </w:divBdr>
        </w:div>
        <w:div w:id="2142189875">
          <w:marLeft w:val="706"/>
          <w:marRight w:val="0"/>
          <w:marTop w:val="60"/>
          <w:marBottom w:val="0"/>
          <w:divBdr>
            <w:top w:val="none" w:sz="0" w:space="0" w:color="auto"/>
            <w:left w:val="none" w:sz="0" w:space="0" w:color="auto"/>
            <w:bottom w:val="none" w:sz="0" w:space="0" w:color="auto"/>
            <w:right w:val="none" w:sz="0" w:space="0" w:color="auto"/>
          </w:divBdr>
        </w:div>
        <w:div w:id="1650936750">
          <w:marLeft w:val="706"/>
          <w:marRight w:val="0"/>
          <w:marTop w:val="60"/>
          <w:marBottom w:val="0"/>
          <w:divBdr>
            <w:top w:val="none" w:sz="0" w:space="0" w:color="auto"/>
            <w:left w:val="none" w:sz="0" w:space="0" w:color="auto"/>
            <w:bottom w:val="none" w:sz="0" w:space="0" w:color="auto"/>
            <w:right w:val="none" w:sz="0" w:space="0" w:color="auto"/>
          </w:divBdr>
        </w:div>
        <w:div w:id="1771923485">
          <w:marLeft w:val="706"/>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601</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Perroud</dc:creator>
  <cp:keywords/>
  <dc:description/>
  <cp:lastModifiedBy>Benoit Perroud</cp:lastModifiedBy>
  <cp:revision>10</cp:revision>
  <dcterms:created xsi:type="dcterms:W3CDTF">2018-09-11T09:11:00Z</dcterms:created>
  <dcterms:modified xsi:type="dcterms:W3CDTF">2018-09-11T13:00:00Z</dcterms:modified>
</cp:coreProperties>
</file>