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2B3A55"/>
          <w:sz w:val="28"/>
        </w:rPr>
        <w:t>STUDIOS CONARI SpA</w:t>
      </w:r>
    </w:p>
    <w:p>
      <w:pPr>
        <w:spacing w:after="60"/>
      </w:pPr>
      <w:r>
        <w:rPr>
          <w:b w:val="0"/>
        </w:rPr>
        <w:t>RUT 78.465.252-1 · Colo Colo 379, oficina 706, Concepción, Región del Biobío</w:t>
      </w:r>
    </w:p>
    <w:p>
      <w:pPr>
        <w:spacing w:after="60"/>
      </w:pPr>
      <w:r>
        <w:rPr>
          <w:b w:val="0"/>
        </w:rPr>
        <w:t>postulaciones@studiosconari.cl · +56 9 8759 8952 · https://studiosconari.cl</w:t>
      </w:r>
    </w:p>
    <w:p>
      <w:pPr>
        <w:spacing w:after="60"/>
      </w:pPr>
      <w:r>
        <w:rPr>
          <w:b w:val="0"/>
        </w:rPr>
      </w:r>
    </w:p>
    <w:p>
      <w:pPr>
        <w:spacing w:after="60"/>
        <w:jc w:val="center"/>
      </w:pPr>
      <w:r>
        <w:rPr>
          <w:b/>
          <w:sz w:val="26"/>
        </w:rPr>
        <w:t>COTIZACIÓN</w:t>
      </w:r>
    </w:p>
    <w:p>
      <w:pPr>
        <w:spacing w:after="60"/>
        <w:jc w:val="right"/>
      </w:pPr>
      <w:r>
        <w:rPr>
          <w:b w:val="0"/>
        </w:rPr>
        <w:t>Fecha: 26-10-2026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Organismo</w:t>
            </w:r>
          </w:p>
        </w:tc>
        <w:tc>
          <w:tcPr>
            <w:tcW w:type="dxa" w:w="4873"/>
          </w:tcPr>
          <w:p>
            <w:r>
              <w:t>I. Municipalidad de Valdivia – Departamento de Medio Ambiente</w:t>
            </w:r>
          </w:p>
        </w:tc>
      </w:tr>
      <w:tr>
        <w:tc>
          <w:tcPr>
            <w:tcW w:type="dxa" w:w="4873"/>
          </w:tcPr>
          <w:p>
            <w:r>
              <w:t>Proceso</w:t>
            </w:r>
          </w:p>
        </w:tc>
        <w:tc>
          <w:tcPr>
            <w:tcW w:type="dxa" w:w="4873"/>
          </w:tcPr>
          <w:p>
            <w:r>
              <w:t>2281-1927-COT26 — Compra ágil</w:t>
            </w:r>
          </w:p>
        </w:tc>
      </w:tr>
      <w:tr>
        <w:tc>
          <w:tcPr>
            <w:tcW w:type="dxa" w:w="4873"/>
          </w:tcPr>
          <w:p>
            <w:r>
              <w:t>Nombre del proceso</w:t>
            </w:r>
          </w:p>
        </w:tc>
        <w:tc>
          <w:tcPr>
            <w:tcW w:type="dxa" w:w="4873"/>
          </w:tcPr>
          <w:p>
            <w:r>
              <w:t>Servicio de diseño de material educativo y de difusión para el Programa Aire y Humedales</w:t>
            </w:r>
          </w:p>
        </w:tc>
      </w:tr>
    </w:tbl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  <w:sz w:val="22"/>
        </w:rPr>
        <w:t>1. Servicio ofrecido</w:t>
      </w:r>
    </w:p>
    <w:p>
      <w:pPr>
        <w:spacing w:after="60"/>
      </w:pPr>
      <w:r>
        <w:rPr>
          <w:b w:val="0"/>
        </w:rPr>
        <w:t>• Línea gráfica unificada con la identidad institucional que entregue la Municipalidad.</w:t>
      </w:r>
    </w:p>
    <w:p>
      <w:pPr>
        <w:spacing w:after="60"/>
      </w:pPr>
      <w:r>
        <w:rPr>
          <w:b w:val="0"/>
        </w:rPr>
        <w:t>• 2 infografías educativas para paneles informativos costeros de gran formato (ilustración, iconografía y diagramación).</w:t>
      </w:r>
    </w:p>
    <w:p>
      <w:pPr>
        <w:spacing w:after="60"/>
      </w:pPr>
      <w:r>
        <w:rPr>
          <w:b w:val="0"/>
        </w:rPr>
        <w:t>• Colección de hasta 8 láminas educativas tipo pontonera (especie o elemento por lámina, nombre común y científico, descripción básica, ilustración propia o fotografía con autorización).</w:t>
      </w:r>
    </w:p>
    <w:p>
      <w:pPr>
        <w:spacing w:after="60"/>
      </w:pPr>
      <w:r>
        <w:rPr>
          <w:b w:val="0"/>
        </w:rPr>
        <w:t>• Material educativo complementario: hasta 6 piezas reutilizables (fichas, afiches o gráficas digitales) sobre aves de humedales, flora nativa, fauna, biodiversidad costera, conservación y buenas prácticas.</w:t>
      </w:r>
    </w:p>
    <w:p>
      <w:pPr>
        <w:spacing w:after="60"/>
      </w:pPr>
      <w:r>
        <w:rPr>
          <w:b w:val="0"/>
        </w:rPr>
        <w:t>• Propuesta gráfica preliminar, diseños para revisión y 2 instancias de corrección sin costo.</w:t>
      </w:r>
    </w:p>
    <w:p>
      <w:pPr>
        <w:spacing w:after="60"/>
      </w:pPr>
      <w:r>
        <w:rPr>
          <w:b w:val="0"/>
        </w:rPr>
        <w:t>• Entrega: PDF alta resolución apto para impresión, JPG/PNG para uso digital y archivos editables en formato equivalente a Illustrator/InDesign (SVG/EPS/PDF editable, Scribus/Inkscape). No incluye impresión.</w:t>
      </w:r>
    </w:p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  <w:sz w:val="22"/>
        </w:rPr>
        <w:t>2. Valores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Ítem</w:t>
            </w:r>
          </w:p>
        </w:tc>
        <w:tc>
          <w:tcPr>
            <w:tcW w:type="dxa" w:w="2436"/>
          </w:tcPr>
          <w:p>
            <w:r>
              <w:t>Cantidad</w:t>
            </w:r>
          </w:p>
        </w:tc>
        <w:tc>
          <w:tcPr>
            <w:tcW w:type="dxa" w:w="2436"/>
          </w:tcPr>
          <w:p>
            <w:r>
              <w:t>Valor unitario neto</w:t>
            </w:r>
          </w:p>
        </w:tc>
        <w:tc>
          <w:tcPr>
            <w:tcW w:type="dxa" w:w="2436"/>
          </w:tcPr>
          <w:p>
            <w:r>
              <w:t>Total neto</w:t>
            </w:r>
          </w:p>
        </w:tc>
      </w:tr>
      <w:tr>
        <w:tc>
          <w:tcPr>
            <w:tcW w:type="dxa" w:w="2436"/>
          </w:tcPr>
          <w:p>
            <w:r>
              <w:t>Diseño de material educativo y de difusión (archivos digitales)</w:t>
            </w:r>
          </w:p>
        </w:tc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>
              <w:t>$ 895.000</w:t>
            </w:r>
          </w:p>
        </w:tc>
        <w:tc>
          <w:tcPr>
            <w:tcW w:type="dxa" w:w="2436"/>
          </w:tcPr>
          <w:p>
            <w:r>
              <w:t>$ 895.000</w:t>
            </w:r>
          </w:p>
        </w:tc>
      </w:tr>
      <w:tr>
        <w:tc>
          <w:tcPr>
            <w:tcW w:type="dxa" w:w="2436"/>
          </w:tcPr>
          <w:p>
            <w:r>
              <w:t>Total neto</w:t>
            </w:r>
          </w:p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>
            <w:r>
              <w:t>$ 895.000</w:t>
            </w:r>
          </w:p>
        </w:tc>
      </w:tr>
      <w:tr>
        <w:tc>
          <w:tcPr>
            <w:tcW w:type="dxa" w:w="2436"/>
          </w:tcPr>
          <w:p>
            <w:r>
              <w:t>IVA 19 %</w:t>
            </w:r>
          </w:p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>
            <w:r>
              <w:t>$ 170.050</w:t>
            </w:r>
          </w:p>
        </w:tc>
      </w:tr>
      <w:tr>
        <w:tc>
          <w:tcPr>
            <w:tcW w:type="dxa" w:w="2436"/>
          </w:tcPr>
          <w:p>
            <w:r>
              <w:t>Total con IVA</w:t>
            </w:r>
          </w:p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>
            <w:r>
              <w:t>$ 1.065.050</w:t>
            </w:r>
          </w:p>
        </w:tc>
      </w:tr>
    </w:tbl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  <w:sz w:val="22"/>
        </w:rPr>
        <w:t>3. Condiciones</w:t>
      </w:r>
    </w:p>
    <w:p>
      <w:pPr>
        <w:spacing w:after="60"/>
      </w:pPr>
      <w:r>
        <w:rPr>
          <w:b w:val="0"/>
        </w:rPr>
        <w:t>• Validez de la oferta: 30 días corridos.</w:t>
      </w:r>
    </w:p>
    <w:p>
      <w:pPr>
        <w:spacing w:after="60"/>
      </w:pPr>
      <w:r>
        <w:rPr>
          <w:b w:val="0"/>
        </w:rPr>
        <w:t>• Plazo: 30 días corridos desde la aceptación de la orden de compra.</w:t>
      </w:r>
    </w:p>
    <w:p>
      <w:pPr>
        <w:spacing w:after="60"/>
      </w:pPr>
      <w:r>
        <w:rPr>
          <w:b w:val="0"/>
        </w:rPr>
        <w:t>• Trabajo 100 % remoto desde Concepción.</w:t>
      </w:r>
    </w:p>
    <w:p>
      <w:pPr>
        <w:spacing w:after="60"/>
      </w:pPr>
      <w:r>
        <w:rPr>
          <w:b w:val="0"/>
        </w:rPr>
        <w:t>• Precio neto; se factura con IVA. Total con IVA dentro del presupuesto publicado.</w:t>
      </w:r>
    </w:p>
    <w:p>
      <w:pPr>
        <w:spacing w:after="60"/>
      </w:pPr>
      <w:r>
        <w:rPr>
          <w:b w:val="0"/>
        </w:rPr>
        <w:t>• Piezas adicionales a las indicadas se cotizan aparte.</w:t>
      </w:r>
    </w:p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  <w:sz w:val="22"/>
        </w:rPr>
        <w:t>4. Equipo</w:t>
      </w:r>
    </w:p>
    <w:p>
      <w:pPr>
        <w:spacing w:after="60"/>
      </w:pPr>
      <w:r>
        <w:rPr>
          <w:b w:val="0"/>
        </w:rPr>
        <w:t>• María Inés Cisterna Escobar: ilustración y diagramación; contenidos educativos.</w:t>
      </w:r>
    </w:p>
    <w:p>
      <w:pPr>
        <w:spacing w:after="60"/>
      </w:pPr>
      <w:r>
        <w:rPr>
          <w:b w:val="0"/>
        </w:rPr>
        <w:t>• Kevin del Río Morgado: apoyo en formatos digitales.</w:t>
      </w:r>
    </w:p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  <w:sz w:val="22"/>
        </w:rPr>
        <w:t>5. Muestras de capacidad (proyectos propios, no son experiencia con clientes)</w:t>
      </w:r>
    </w:p>
    <w:p>
      <w:pPr>
        <w:spacing w:after="60"/>
      </w:pPr>
      <w:r>
        <w:rPr>
          <w:b w:val="0"/>
        </w:rPr>
        <w:t>• https://manecist.github.io/Matrona/capsula.html</w:t>
      </w:r>
    </w:p>
    <w:p>
      <w:pPr>
        <w:spacing w:after="60"/>
      </w:pPr>
      <w:r>
        <w:rPr>
          <w:b w:val="0"/>
        </w:rPr>
        <w:t>• https://studiosconari.github.io</w:t>
      </w:r>
    </w:p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 w:val="0"/>
        </w:rPr>
        <w:t>______________________________</w:t>
      </w:r>
    </w:p>
    <w:p>
      <w:pPr>
        <w:spacing w:after="60"/>
      </w:pPr>
      <w:r>
        <w:rPr>
          <w:b w:val="0"/>
        </w:rPr>
        <w:t>María Inés Cisterna Escobar</w:t>
      </w:r>
    </w:p>
    <w:p>
      <w:pPr>
        <w:spacing w:after="60"/>
      </w:pPr>
      <w:r>
        <w:rPr>
          <w:b w:val="0"/>
        </w:rPr>
        <w:t>Socia fundadora y administradora</w:t>
      </w:r>
    </w:p>
    <w:p>
      <w:pPr>
        <w:spacing w:after="60"/>
      </w:pPr>
      <w:r>
        <w:rPr>
          <w:b w:val="0"/>
        </w:rPr>
        <w:t>Studios Conari SpA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