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6C87" w:rsidRDefault="00BA6C87" w:rsidP="00BA6C87">
      <w:r>
        <w:t>TÉRMINOS TÉCNICOS DE REFERENCIA</w:t>
      </w:r>
    </w:p>
    <w:p w:rsidR="00BA6C87" w:rsidRDefault="00BA6C87" w:rsidP="00BA6C87">
      <w:r>
        <w:t>SERVICIO DE DISEÑO DE MATERIAL EDUCATIVO Y DE DIFUSIÓN PARA EL PROGRAMA AIRE Y HUMEDALES</w:t>
      </w:r>
    </w:p>
    <w:p w:rsidR="00BA6C87" w:rsidRDefault="00BA6C87" w:rsidP="00BA6C87">
      <w:r>
        <w:t>1. ANTECEDENTES</w:t>
      </w:r>
    </w:p>
    <w:p w:rsidR="00223C40" w:rsidRDefault="00BA6C87" w:rsidP="00BA6C87">
      <w:pPr>
        <w:jc w:val="both"/>
      </w:pPr>
      <w:r>
        <w:t>La Municipalidad requiere contratar un servicio especializado de diseño gráfico para la elaboración de material educativo y de difusión destinado al Programa Aire y Humedales, con el objetivo de fortalecer las acciones de educación ambiental</w:t>
      </w:r>
    </w:p>
    <w:p w:rsidR="00BA6C87" w:rsidRDefault="00BA6C87" w:rsidP="00BA6C87">
      <w:pPr>
        <w:jc w:val="both"/>
      </w:pPr>
      <w:r>
        <w:t>, sensibilización comunitaria y difusión de la biodiversidad asociada a los humedales y ecosistemas del borde costero.</w:t>
      </w:r>
    </w:p>
    <w:p w:rsidR="00BA6C87" w:rsidRDefault="00BA6C87" w:rsidP="00BA6C87">
      <w:r>
        <w:t>Los productos desarrollados serán utilizados en campañas educativas, actividades de participación ciudadana, establecimientos educacionales, ferias ambientales y acciones de difusión institucional.</w:t>
      </w:r>
    </w:p>
    <w:p w:rsidR="00BA6C87" w:rsidRDefault="00BA6C87" w:rsidP="00BA6C87"/>
    <w:p w:rsidR="00BA6C87" w:rsidRDefault="00BA6C87" w:rsidP="00BA6C87">
      <w:r>
        <w:t>2. OBJETIVO GENERAL</w:t>
      </w:r>
    </w:p>
    <w:p w:rsidR="00BA6C87" w:rsidRDefault="00BA6C87" w:rsidP="00BA6C87"/>
    <w:p w:rsidR="00BA6C87" w:rsidRDefault="00BA6C87" w:rsidP="00BA6C87">
      <w:r>
        <w:t>Diseñar un conjunto de materiales educativos y de difusión que permitan fortalecer las campañas de educación ambiental relacionadas con la conservación y valoración de los humedales y el borde costero.</w:t>
      </w:r>
    </w:p>
    <w:p w:rsidR="00BA6C87" w:rsidRDefault="00BA6C87" w:rsidP="00BA6C87"/>
    <w:p w:rsidR="00BA6C87" w:rsidRDefault="00BA6C87" w:rsidP="00BA6C87">
      <w:r>
        <w:t>3. OBJETIVOS ESPECÍFICOS</w:t>
      </w:r>
    </w:p>
    <w:p w:rsidR="00BA6C87" w:rsidRDefault="00BA6C87" w:rsidP="00BA6C87">
      <w:r>
        <w:t>Elaborar material gráfico de apoyo para actividades educativas y de difusión ambiental.</w:t>
      </w:r>
    </w:p>
    <w:p w:rsidR="00BA6C87" w:rsidRDefault="00BA6C87" w:rsidP="00BA6C87">
      <w:r>
        <w:t>Promover el conocimiento de la biodiversidad presente en humedales y ecosistemas costeros.</w:t>
      </w:r>
    </w:p>
    <w:p w:rsidR="00BA6C87" w:rsidRDefault="00BA6C87" w:rsidP="00BA6C87">
      <w:r>
        <w:t>Favorecer la comprensión de conceptos asociados a la conservación de flora, fauna y ecosistemas.</w:t>
      </w:r>
    </w:p>
    <w:p w:rsidR="00BA6C87" w:rsidRDefault="00BA6C87" w:rsidP="00BA6C87">
      <w:r>
        <w:t>Generar recursos gráficos reutilizables para futuras campañas de sensibilización ambiental.</w:t>
      </w:r>
    </w:p>
    <w:p w:rsidR="00BA6C87" w:rsidRDefault="00BA6C87" w:rsidP="00BA6C87">
      <w:r>
        <w:t>4. DESCRIPCIÓN DEL SERVICIO</w:t>
      </w:r>
    </w:p>
    <w:p w:rsidR="00BA6C87" w:rsidRDefault="00BA6C87" w:rsidP="00BA6C87">
      <w:r>
        <w:t>El oferente deberá desarrollar el diseño gráfico, diagramación y producción digital de los materiales educativos y de difusión que se indican a continuación:</w:t>
      </w:r>
    </w:p>
    <w:p w:rsidR="00BA6C87" w:rsidRDefault="00BA6C87" w:rsidP="00BA6C87"/>
    <w:p w:rsidR="00BA6C87" w:rsidRDefault="00BA6C87" w:rsidP="00BA6C87">
      <w:r>
        <w:t>4.1 Productos requeridos</w:t>
      </w:r>
    </w:p>
    <w:p w:rsidR="00BA6C87" w:rsidRDefault="00BA6C87" w:rsidP="00BA6C87"/>
    <w:p w:rsidR="00BA6C87" w:rsidRDefault="00BA6C87" w:rsidP="00BA6C87">
      <w:r>
        <w:t>a) Infografías para paneles informativos costeros</w:t>
      </w:r>
    </w:p>
    <w:p w:rsidR="00BA6C87" w:rsidRDefault="00BA6C87" w:rsidP="00BA6C87"/>
    <w:p w:rsidR="004027B9" w:rsidRDefault="004027B9" w:rsidP="00BA6C87"/>
    <w:p w:rsidR="00BA6C87" w:rsidRDefault="00BA6C87" w:rsidP="00BA6C87">
      <w:r>
        <w:lastRenderedPageBreak/>
        <w:t>Diseño de 2 infografías educativas.</w:t>
      </w:r>
    </w:p>
    <w:p w:rsidR="00BA6C87" w:rsidRDefault="00BA6C87" w:rsidP="00BA6C87">
      <w:r>
        <w:t>Formato apto para impresión en paneles informativos de gran tamaño.</w:t>
      </w:r>
    </w:p>
    <w:p w:rsidR="00BA6C87" w:rsidRDefault="00BA6C87" w:rsidP="00BA6C87">
      <w:r>
        <w:t>Deberán incluir diagramación gráfica, ilustraciones, iconografía y elementos visuales vinculados a humedales y ecosistemas costeros.</w:t>
      </w:r>
    </w:p>
    <w:p w:rsidR="00BA6C87" w:rsidRDefault="00BA6C87" w:rsidP="00BA6C87">
      <w:r>
        <w:t xml:space="preserve">b) Láminas educativas tipo </w:t>
      </w:r>
      <w:r w:rsidR="00485B47">
        <w:t>pontonera</w:t>
      </w:r>
    </w:p>
    <w:p w:rsidR="00BA6C87" w:rsidRDefault="00BA6C87" w:rsidP="00BA6C87">
      <w:r>
        <w:t xml:space="preserve">Diseño de una colección de láminas informativas tipo </w:t>
      </w:r>
      <w:r w:rsidR="00485B47">
        <w:t>pontonera</w:t>
      </w:r>
      <w:r>
        <w:t>.</w:t>
      </w:r>
    </w:p>
    <w:p w:rsidR="00BA6C87" w:rsidRDefault="00BA6C87" w:rsidP="00BA6C87">
      <w:r>
        <w:t>Cada lámina deberá contener información temática estructurada sobre especies o elementos de interés ambiental.</w:t>
      </w:r>
    </w:p>
    <w:p w:rsidR="00BA6C87" w:rsidRDefault="00BA6C87" w:rsidP="00BA6C87">
      <w:r>
        <w:t>Las láminas deberán contemplar diseño gráfico, diagramación, fotografías o ilustraciones, nombres comunes y científicos, así como información descriptiva básica.</w:t>
      </w:r>
    </w:p>
    <w:p w:rsidR="00BA6C87" w:rsidRDefault="00BA6C87" w:rsidP="00BA6C87"/>
    <w:p w:rsidR="00BA6C87" w:rsidRDefault="00BA6C87" w:rsidP="00BA6C87">
      <w:r>
        <w:t>c) Material educativo complementario</w:t>
      </w:r>
    </w:p>
    <w:p w:rsidR="00BA6C87" w:rsidRDefault="00BA6C87" w:rsidP="00BA6C87">
      <w:r>
        <w:t>Diseño de propuestas gráficas reutilizables para futuras campañas educativas relacionadas con:</w:t>
      </w:r>
    </w:p>
    <w:p w:rsidR="00BA6C87" w:rsidRDefault="00BA6C87" w:rsidP="00BA6C87">
      <w:r>
        <w:t>Aves de humedales.</w:t>
      </w:r>
    </w:p>
    <w:p w:rsidR="00BA6C87" w:rsidRDefault="00BA6C87" w:rsidP="00BA6C87">
      <w:r>
        <w:t>Flora nativa.</w:t>
      </w:r>
    </w:p>
    <w:p w:rsidR="00BA6C87" w:rsidRDefault="00BA6C87" w:rsidP="00BA6C87">
      <w:r>
        <w:t>Fauna terrestre y acuática.</w:t>
      </w:r>
    </w:p>
    <w:p w:rsidR="00BA6C87" w:rsidRDefault="00BA6C87" w:rsidP="00BA6C87">
      <w:r>
        <w:t>Biodiversidad costera.</w:t>
      </w:r>
    </w:p>
    <w:p w:rsidR="00BA6C87" w:rsidRDefault="00BA6C87" w:rsidP="00BA6C87">
      <w:r>
        <w:t>Conservación de ecosistemas.</w:t>
      </w:r>
    </w:p>
    <w:p w:rsidR="00BA6C87" w:rsidRDefault="00BA6C87" w:rsidP="00BA6C87">
      <w:r>
        <w:t>Buenas prácticas ambientales.</w:t>
      </w:r>
    </w:p>
    <w:p w:rsidR="00BA6C87" w:rsidRDefault="00BA6C87" w:rsidP="00BA6C87"/>
    <w:p w:rsidR="00BA6C87" w:rsidRDefault="00BA6C87" w:rsidP="00BA6C87">
      <w:r>
        <w:t>El formato definitivo será definido por la contraparte técnica durante la ejecución del servicio pudiendo incluir fichas, afiches, gráficas digitales u otros elementos educativos.</w:t>
      </w:r>
    </w:p>
    <w:p w:rsidR="00BA6C87" w:rsidRDefault="00BA6C87" w:rsidP="00BA6C87"/>
    <w:p w:rsidR="00BA6C87" w:rsidRDefault="00BA6C87" w:rsidP="00BA6C87"/>
    <w:p w:rsidR="00BA6C87" w:rsidRDefault="00BA6C87" w:rsidP="00BA6C87"/>
    <w:p w:rsidR="00FE0DC0" w:rsidRDefault="00FE0DC0" w:rsidP="00BA6C87"/>
    <w:p w:rsidR="00FE0DC0" w:rsidRDefault="00FE0DC0" w:rsidP="00BA6C87"/>
    <w:p w:rsidR="00FE0DC0" w:rsidRDefault="00FE0DC0" w:rsidP="00BA6C87"/>
    <w:p w:rsidR="00BA6C87" w:rsidRDefault="00BA6C87" w:rsidP="00BA6C87"/>
    <w:p w:rsidR="00BA6C87" w:rsidRDefault="00BA6C87" w:rsidP="00BA6C87"/>
    <w:p w:rsidR="00BA6C87" w:rsidRDefault="00BA6C87" w:rsidP="00BA6C87">
      <w:r>
        <w:lastRenderedPageBreak/>
        <w:t>5. ESPECIFICACIONES TÉCNICAS</w:t>
      </w:r>
    </w:p>
    <w:p w:rsidR="00BA6C87" w:rsidRDefault="00BA6C87" w:rsidP="00BA6C87">
      <w:r>
        <w:t>Los materiales deberán:</w:t>
      </w:r>
    </w:p>
    <w:p w:rsidR="00BA6C87" w:rsidRDefault="00BA6C87" w:rsidP="00BA6C87">
      <w:r>
        <w:t>Presentar una línea gráfica unificada.</w:t>
      </w:r>
    </w:p>
    <w:p w:rsidR="00BA6C87" w:rsidRDefault="00BA6C87" w:rsidP="00BA6C87">
      <w:r>
        <w:t>Utilizar lenguaje claro, educativo y de fácil comprensión.</w:t>
      </w:r>
    </w:p>
    <w:p w:rsidR="00BA6C87" w:rsidRDefault="00BA6C87" w:rsidP="00BA6C87">
      <w:r>
        <w:t>Incorporar criterios de accesibilidad visual y lectura.</w:t>
      </w:r>
    </w:p>
    <w:p w:rsidR="00BA6C87" w:rsidRDefault="00BA6C87" w:rsidP="00BA6C87">
      <w:r>
        <w:t>Considerar identidad institucional proporcionada por la Municipalidad.</w:t>
      </w:r>
    </w:p>
    <w:p w:rsidR="00BA6C87" w:rsidRDefault="00BA6C87" w:rsidP="00BA6C87">
      <w:r>
        <w:t>Utilizar imágenes, ilustraciones o recursos gráficos libres de derechos o con autorización de uso.</w:t>
      </w:r>
    </w:p>
    <w:p w:rsidR="00BA6C87" w:rsidRDefault="00BA6C87" w:rsidP="00BA6C87">
      <w:r>
        <w:t>Ser aptos para reproducción digital e impresión.</w:t>
      </w:r>
    </w:p>
    <w:p w:rsidR="00BA6C87" w:rsidRDefault="00BA6C87" w:rsidP="00BA6C87">
      <w:r>
        <w:t>Incorporar contenidos editables para futuras actualizaciones.</w:t>
      </w:r>
    </w:p>
    <w:p w:rsidR="00BA6C87" w:rsidRDefault="00BA6C87" w:rsidP="00BA6C87">
      <w:r>
        <w:t>6. PRODUCTOS A ENTREGAR</w:t>
      </w:r>
      <w:bookmarkStart w:id="0" w:name="_GoBack"/>
      <w:bookmarkEnd w:id="0"/>
    </w:p>
    <w:p w:rsidR="00BA6C87" w:rsidRDefault="00BA6C87" w:rsidP="00BA6C87"/>
    <w:p w:rsidR="00BA6C87" w:rsidRDefault="00BA6C87" w:rsidP="00BA6C87">
      <w:r>
        <w:t>El adjudicatario deberá entregar:</w:t>
      </w:r>
    </w:p>
    <w:p w:rsidR="00BA6C87" w:rsidRDefault="00BA6C87" w:rsidP="00BA6C87">
      <w:r>
        <w:t>Propuesta gráfica preliminar.</w:t>
      </w:r>
    </w:p>
    <w:p w:rsidR="00BA6C87" w:rsidRDefault="00BA6C87" w:rsidP="00BA6C87">
      <w:r>
        <w:t>Diseños para revisión y validación de la contraparte técnica.</w:t>
      </w:r>
    </w:p>
    <w:p w:rsidR="00BA6C87" w:rsidRDefault="00BA6C87" w:rsidP="00BA6C87">
      <w:r>
        <w:t>Versiones finales aprobadas.</w:t>
      </w:r>
    </w:p>
    <w:p w:rsidR="00BA6C87" w:rsidRDefault="00BA6C87" w:rsidP="00BA6C87">
      <w:r>
        <w:t xml:space="preserve">Archivos editables en formato Adobe </w:t>
      </w:r>
      <w:proofErr w:type="spellStart"/>
      <w:r>
        <w:t>Illustrator</w:t>
      </w:r>
      <w:proofErr w:type="spellEnd"/>
      <w:r>
        <w:t>, InDesign, Photoshop o equivalente.</w:t>
      </w:r>
    </w:p>
    <w:p w:rsidR="00BA6C87" w:rsidRDefault="00BA6C87" w:rsidP="00BA6C87">
      <w:r>
        <w:t>Archivos finales en formato PDF de alta resolución.</w:t>
      </w:r>
    </w:p>
    <w:p w:rsidR="00BA6C87" w:rsidRDefault="00BA6C87" w:rsidP="00BA6C87">
      <w:r>
        <w:t>Archivos JPG y PNG para uso digital.</w:t>
      </w:r>
    </w:p>
    <w:p w:rsidR="00081047" w:rsidRDefault="00081047" w:rsidP="00BA6C87"/>
    <w:p w:rsidR="00081047" w:rsidRDefault="00081047" w:rsidP="00BA6C87"/>
    <w:p w:rsidR="00081047" w:rsidRDefault="00081047" w:rsidP="00BA6C87"/>
    <w:p w:rsidR="00081047" w:rsidRDefault="00081047" w:rsidP="00BA6C87"/>
    <w:p w:rsidR="00081047" w:rsidRDefault="00081047" w:rsidP="00BA6C87"/>
    <w:p w:rsidR="00081047" w:rsidRDefault="00081047" w:rsidP="00BA6C87"/>
    <w:p w:rsidR="00081047" w:rsidRDefault="00081047" w:rsidP="00BA6C87"/>
    <w:p w:rsidR="00081047" w:rsidRDefault="00081047" w:rsidP="00BA6C87"/>
    <w:tbl>
      <w:tblPr>
        <w:tblStyle w:val="Tablaconcuadrcula"/>
        <w:tblW w:w="8995" w:type="dxa"/>
        <w:tblLayout w:type="fixed"/>
        <w:tblLook w:val="04A0" w:firstRow="1" w:lastRow="0" w:firstColumn="1" w:lastColumn="0" w:noHBand="0" w:noVBand="1"/>
      </w:tblPr>
      <w:tblGrid>
        <w:gridCol w:w="7506"/>
        <w:gridCol w:w="1489"/>
      </w:tblGrid>
      <w:tr w:rsidR="00081047" w:rsidRPr="00081047" w:rsidTr="006F0582">
        <w:trPr>
          <w:trHeight w:val="299"/>
        </w:trPr>
        <w:tc>
          <w:tcPr>
            <w:tcW w:w="7506" w:type="dxa"/>
          </w:tcPr>
          <w:p w:rsidR="00081047" w:rsidRPr="00081047" w:rsidRDefault="00081047" w:rsidP="00081047">
            <w:pPr>
              <w:jc w:val="both"/>
              <w:rPr>
                <w:rFonts w:ascii="Calibri" w:eastAsia="Arial Unicode MS" w:hAnsi="Calibri" w:cs="Calibri"/>
                <w:b/>
                <w:lang w:val="es-ES_tradnl"/>
              </w:rPr>
            </w:pPr>
            <w:r w:rsidRPr="00081047">
              <w:rPr>
                <w:rFonts w:ascii="Calibri" w:eastAsia="Arial Unicode MS" w:hAnsi="Calibri" w:cs="Calibri"/>
                <w:b/>
                <w:lang w:val="es-ES_tradnl"/>
              </w:rPr>
              <w:t>Criterios de evaluación</w:t>
            </w:r>
          </w:p>
        </w:tc>
        <w:tc>
          <w:tcPr>
            <w:tcW w:w="1489" w:type="dxa"/>
          </w:tcPr>
          <w:p w:rsidR="00081047" w:rsidRPr="00081047" w:rsidRDefault="00081047" w:rsidP="00081047">
            <w:pPr>
              <w:jc w:val="both"/>
              <w:rPr>
                <w:rFonts w:ascii="Calibri" w:eastAsia="Arial Unicode MS" w:hAnsi="Calibri" w:cs="Calibri"/>
                <w:lang w:val="es-ES_tradnl"/>
              </w:rPr>
            </w:pPr>
          </w:p>
        </w:tc>
      </w:tr>
      <w:tr w:rsidR="00081047" w:rsidRPr="00081047" w:rsidTr="006F0582">
        <w:trPr>
          <w:trHeight w:val="299"/>
        </w:trPr>
        <w:tc>
          <w:tcPr>
            <w:tcW w:w="7506" w:type="dxa"/>
          </w:tcPr>
          <w:p w:rsidR="00081047" w:rsidRPr="00081047" w:rsidRDefault="00081047" w:rsidP="00081047">
            <w:pPr>
              <w:jc w:val="both"/>
              <w:rPr>
                <w:rFonts w:ascii="Calibri" w:eastAsia="Arial Unicode MS" w:hAnsi="Calibri" w:cs="Calibri"/>
                <w:b/>
                <w:lang w:val="es-ES_tradnl"/>
              </w:rPr>
            </w:pPr>
            <w:r w:rsidRPr="00081047">
              <w:rPr>
                <w:rFonts w:ascii="Calibri" w:eastAsia="Arial Unicode MS" w:hAnsi="Calibri" w:cs="Calibri"/>
                <w:b/>
                <w:lang w:val="es-ES_tradnl"/>
              </w:rPr>
              <w:t xml:space="preserve">Ítem </w:t>
            </w:r>
          </w:p>
        </w:tc>
        <w:tc>
          <w:tcPr>
            <w:tcW w:w="1489" w:type="dxa"/>
          </w:tcPr>
          <w:p w:rsidR="00081047" w:rsidRPr="00081047" w:rsidRDefault="00081047" w:rsidP="00081047">
            <w:pPr>
              <w:jc w:val="both"/>
              <w:rPr>
                <w:rFonts w:ascii="Calibri" w:eastAsia="Arial Unicode MS" w:hAnsi="Calibri" w:cs="Calibri"/>
                <w:lang w:val="es-ES_tradnl"/>
              </w:rPr>
            </w:pPr>
            <w:r w:rsidRPr="00081047">
              <w:rPr>
                <w:rFonts w:ascii="Calibri" w:eastAsia="Arial Unicode MS" w:hAnsi="Calibri" w:cs="Calibri"/>
                <w:lang w:val="es-ES_tradnl"/>
              </w:rPr>
              <w:t>Porcentaje</w:t>
            </w:r>
          </w:p>
        </w:tc>
      </w:tr>
      <w:tr w:rsidR="00081047" w:rsidRPr="00081047" w:rsidTr="006F0582">
        <w:trPr>
          <w:trHeight w:val="338"/>
        </w:trPr>
        <w:tc>
          <w:tcPr>
            <w:tcW w:w="7506" w:type="dxa"/>
          </w:tcPr>
          <w:p w:rsidR="00081047" w:rsidRPr="00081047" w:rsidRDefault="00081047" w:rsidP="00081047">
            <w:pPr>
              <w:spacing w:line="276" w:lineRule="auto"/>
              <w:jc w:val="both"/>
              <w:rPr>
                <w:rFonts w:ascii="Calibri" w:eastAsia="Arial Unicode MS" w:hAnsi="Calibri" w:cs="Calibri"/>
                <w:b/>
                <w:lang w:val="es-ES_tradnl"/>
              </w:rPr>
            </w:pPr>
            <w:r w:rsidRPr="00081047">
              <w:rPr>
                <w:rFonts w:ascii="Calibri" w:eastAsia="Arial Unicode MS" w:hAnsi="Calibri" w:cs="Calibri"/>
                <w:b/>
                <w:lang w:val="es-ES_tradnl"/>
              </w:rPr>
              <w:t>Oferta económica (oferta evaluada/mejor oferta económica) x 40</w:t>
            </w:r>
          </w:p>
        </w:tc>
        <w:tc>
          <w:tcPr>
            <w:tcW w:w="1489" w:type="dxa"/>
          </w:tcPr>
          <w:p w:rsidR="00081047" w:rsidRPr="00081047" w:rsidRDefault="00081047" w:rsidP="00081047">
            <w:pPr>
              <w:spacing w:line="276" w:lineRule="auto"/>
              <w:jc w:val="both"/>
              <w:rPr>
                <w:rFonts w:ascii="Calibri" w:eastAsia="Arial Unicode MS" w:hAnsi="Calibri" w:cs="Calibri"/>
                <w:lang w:val="es-ES_tradnl"/>
              </w:rPr>
            </w:pPr>
            <w:r w:rsidRPr="00081047">
              <w:rPr>
                <w:rFonts w:ascii="Calibri" w:eastAsia="Arial Unicode MS" w:hAnsi="Calibri" w:cs="Calibri"/>
                <w:lang w:val="es-ES_tradnl"/>
              </w:rPr>
              <w:t>40</w:t>
            </w:r>
          </w:p>
        </w:tc>
      </w:tr>
      <w:tr w:rsidR="00081047" w:rsidRPr="00081047" w:rsidTr="006F0582">
        <w:trPr>
          <w:trHeight w:val="2990"/>
        </w:trPr>
        <w:tc>
          <w:tcPr>
            <w:tcW w:w="7506" w:type="dxa"/>
          </w:tcPr>
          <w:p w:rsidR="00081047" w:rsidRPr="00081047" w:rsidRDefault="00081047" w:rsidP="00081047">
            <w:pPr>
              <w:spacing w:line="276" w:lineRule="auto"/>
              <w:jc w:val="both"/>
              <w:rPr>
                <w:rFonts w:ascii="Calibri" w:eastAsia="Arial Unicode MS" w:hAnsi="Calibri" w:cs="Calibri"/>
                <w:lang w:val="es-ES_tradnl"/>
              </w:rPr>
            </w:pPr>
            <w:r w:rsidRPr="00081047">
              <w:rPr>
                <w:rFonts w:ascii="Calibri" w:eastAsia="Arial Unicode MS" w:hAnsi="Calibri" w:cs="Calibri"/>
                <w:b/>
                <w:lang w:val="es-ES_tradnl"/>
              </w:rPr>
              <w:lastRenderedPageBreak/>
              <w:t xml:space="preserve">Experiencia: </w:t>
            </w:r>
            <w:r w:rsidRPr="00081047">
              <w:rPr>
                <w:rFonts w:ascii="Calibri" w:eastAsia="Arial Unicode MS" w:hAnsi="Calibri" w:cs="Calibri"/>
                <w:lang w:val="es-ES_tradnl"/>
              </w:rPr>
              <w:t xml:space="preserve">Obtendrá 30 puntos la empresa que adjunte documentos (contratos, facturas y/o órdenes de compra o certificados que acrediten experiencia en este tipo de trabajos en instituciones públicas o privadas. (máximo 10 documentos) </w:t>
            </w:r>
          </w:p>
          <w:p w:rsidR="00081047" w:rsidRPr="00081047" w:rsidRDefault="00081047" w:rsidP="00081047">
            <w:pPr>
              <w:numPr>
                <w:ilvl w:val="0"/>
                <w:numId w:val="1"/>
              </w:numPr>
              <w:contextualSpacing/>
              <w:jc w:val="both"/>
              <w:rPr>
                <w:rFonts w:ascii="Calibri" w:eastAsia="Arial Unicode MS" w:hAnsi="Calibri" w:cs="Calibri"/>
                <w:lang w:val="es-ES_tradnl" w:eastAsia="es-CL"/>
              </w:rPr>
            </w:pPr>
            <w:r w:rsidRPr="00081047">
              <w:rPr>
                <w:rFonts w:ascii="Calibri" w:eastAsia="Arial Unicode MS" w:hAnsi="Calibri" w:cs="Calibri"/>
                <w:lang w:val="es-ES_tradnl" w:eastAsia="es-CL"/>
              </w:rPr>
              <w:t>Entre 8 a 10 experiencias, 100 pts.</w:t>
            </w:r>
          </w:p>
          <w:p w:rsidR="00081047" w:rsidRPr="00081047" w:rsidRDefault="00081047" w:rsidP="00081047">
            <w:pPr>
              <w:numPr>
                <w:ilvl w:val="0"/>
                <w:numId w:val="1"/>
              </w:numPr>
              <w:contextualSpacing/>
              <w:jc w:val="both"/>
              <w:rPr>
                <w:rFonts w:ascii="Calibri" w:eastAsia="Arial Unicode MS" w:hAnsi="Calibri" w:cs="Calibri"/>
                <w:lang w:val="es-ES_tradnl" w:eastAsia="es-CL"/>
              </w:rPr>
            </w:pPr>
            <w:r w:rsidRPr="00081047">
              <w:rPr>
                <w:rFonts w:ascii="Calibri" w:eastAsia="Arial Unicode MS" w:hAnsi="Calibri" w:cs="Calibri"/>
                <w:lang w:val="es-ES_tradnl" w:eastAsia="es-CL"/>
              </w:rPr>
              <w:t>Entre 7 y 4 experiencias 70 pts.</w:t>
            </w:r>
          </w:p>
          <w:p w:rsidR="00081047" w:rsidRPr="00081047" w:rsidRDefault="00081047" w:rsidP="00081047">
            <w:pPr>
              <w:numPr>
                <w:ilvl w:val="0"/>
                <w:numId w:val="1"/>
              </w:numPr>
              <w:contextualSpacing/>
              <w:jc w:val="both"/>
              <w:rPr>
                <w:rFonts w:ascii="Calibri" w:eastAsia="Arial Unicode MS" w:hAnsi="Calibri" w:cs="Calibri"/>
                <w:lang w:val="es-ES_tradnl" w:eastAsia="es-CL"/>
              </w:rPr>
            </w:pPr>
            <w:r w:rsidRPr="00081047">
              <w:rPr>
                <w:rFonts w:ascii="Calibri" w:eastAsia="Arial Unicode MS" w:hAnsi="Calibri" w:cs="Calibri"/>
                <w:lang w:val="es-ES_tradnl" w:eastAsia="es-CL"/>
              </w:rPr>
              <w:t xml:space="preserve">Entre 4 y 1 experiencia 30 pts. </w:t>
            </w:r>
          </w:p>
          <w:p w:rsidR="00081047" w:rsidRPr="00081047" w:rsidRDefault="00081047" w:rsidP="00081047">
            <w:pPr>
              <w:numPr>
                <w:ilvl w:val="0"/>
                <w:numId w:val="1"/>
              </w:numPr>
              <w:contextualSpacing/>
              <w:jc w:val="both"/>
              <w:rPr>
                <w:rFonts w:ascii="Calibri" w:eastAsia="Arial Unicode MS" w:hAnsi="Calibri" w:cs="Calibri"/>
                <w:lang w:val="es-ES_tradnl" w:eastAsia="es-CL"/>
              </w:rPr>
            </w:pPr>
            <w:r w:rsidRPr="00081047">
              <w:rPr>
                <w:rFonts w:ascii="Calibri" w:eastAsia="Arial Unicode MS" w:hAnsi="Calibri" w:cs="Calibri"/>
                <w:lang w:val="es-ES_tradnl" w:eastAsia="es-CL"/>
              </w:rPr>
              <w:t>No adjunta   0 pts.</w:t>
            </w:r>
          </w:p>
          <w:p w:rsidR="00081047" w:rsidRPr="00081047" w:rsidRDefault="00081047" w:rsidP="00081047">
            <w:pPr>
              <w:spacing w:line="276" w:lineRule="auto"/>
              <w:jc w:val="both"/>
              <w:rPr>
                <w:rFonts w:ascii="Calibri" w:eastAsia="Arial Unicode MS" w:hAnsi="Calibri" w:cs="Calibri"/>
                <w:lang w:val="es-ES_tradnl"/>
              </w:rPr>
            </w:pPr>
            <w:r w:rsidRPr="00081047">
              <w:rPr>
                <w:rFonts w:ascii="Calibri" w:eastAsia="Arial Unicode MS" w:hAnsi="Calibri" w:cs="Calibri"/>
                <w:lang w:val="es-ES_tradnl"/>
              </w:rPr>
              <w:t xml:space="preserve">Quien no acredite no obtendrá puntaje, pero no quedara fuera de proceso </w:t>
            </w:r>
          </w:p>
        </w:tc>
        <w:tc>
          <w:tcPr>
            <w:tcW w:w="1489" w:type="dxa"/>
          </w:tcPr>
          <w:p w:rsidR="00081047" w:rsidRPr="00081047" w:rsidRDefault="00081047" w:rsidP="00081047">
            <w:pPr>
              <w:spacing w:line="276" w:lineRule="auto"/>
              <w:jc w:val="both"/>
              <w:rPr>
                <w:rFonts w:ascii="Calibri" w:eastAsia="Arial Unicode MS" w:hAnsi="Calibri" w:cs="Calibri"/>
                <w:lang w:val="es-ES_tradnl"/>
              </w:rPr>
            </w:pPr>
            <w:r w:rsidRPr="00081047">
              <w:rPr>
                <w:rFonts w:ascii="Calibri" w:eastAsia="Arial Unicode MS" w:hAnsi="Calibri" w:cs="Calibri"/>
                <w:lang w:val="es-ES_tradnl"/>
              </w:rPr>
              <w:t>40</w:t>
            </w:r>
          </w:p>
        </w:tc>
      </w:tr>
      <w:tr w:rsidR="00081047" w:rsidRPr="00081047" w:rsidTr="006F0582">
        <w:trPr>
          <w:trHeight w:val="2093"/>
        </w:trPr>
        <w:tc>
          <w:tcPr>
            <w:tcW w:w="7506" w:type="dxa"/>
          </w:tcPr>
          <w:p w:rsidR="00081047" w:rsidRPr="00081047" w:rsidRDefault="00081047" w:rsidP="00081047">
            <w:pPr>
              <w:jc w:val="both"/>
              <w:rPr>
                <w:rFonts w:ascii="Calibri" w:eastAsia="Arial Unicode MS" w:hAnsi="Calibri" w:cs="Calibri"/>
                <w:bCs/>
                <w:lang w:val="es-ES_tradnl"/>
              </w:rPr>
            </w:pPr>
            <w:r w:rsidRPr="00081047">
              <w:rPr>
                <w:rFonts w:ascii="Calibri" w:eastAsia="Arial Unicode MS" w:hAnsi="Calibri" w:cs="Calibri"/>
                <w:b/>
                <w:lang w:val="es-ES_tradnl"/>
              </w:rPr>
              <w:t xml:space="preserve">Comportamiento contractual Anterior </w:t>
            </w:r>
            <w:r w:rsidRPr="00081047">
              <w:rPr>
                <w:rFonts w:ascii="Calibri" w:eastAsia="Arial Unicode MS" w:hAnsi="Calibri" w:cs="Calibri"/>
                <w:bCs/>
                <w:lang w:val="es-ES_tradnl"/>
              </w:rPr>
              <w:t xml:space="preserve">0 RECLAMOS 100 PTS -// 1-3 RECLAMOS 85 PTS, //4-6 RECLAMOS 40 PTS //7 Y MAS RECLAMOS 10 PTS, PROVEEDOR NO HABIL EN CHILE PROVEEDORES, VENCIDO Y/O “SIN INFORMACIÓN”, 0 PTOS, considerando que no se puede verificar información de su comportamiento contractual. </w:t>
            </w:r>
            <w:r w:rsidRPr="00081047">
              <w:rPr>
                <w:rFonts w:ascii="Calibri" w:eastAsia="Arial Unicode MS" w:hAnsi="Calibri" w:cs="Calibri"/>
                <w:b/>
                <w:lang w:val="es-ES_tradnl"/>
              </w:rPr>
              <w:t>(Reclamos considera un periodo de los últimos 12 meses, desde el cierre de la respectiva licitación</w:t>
            </w:r>
            <w:r w:rsidRPr="00081047">
              <w:rPr>
                <w:rFonts w:ascii="Calibri" w:eastAsia="Arial Unicode MS" w:hAnsi="Calibri" w:cs="Calibri"/>
                <w:bCs/>
                <w:lang w:val="es-ES_tradnl"/>
              </w:rPr>
              <w:t>)</w:t>
            </w:r>
          </w:p>
        </w:tc>
        <w:tc>
          <w:tcPr>
            <w:tcW w:w="1489" w:type="dxa"/>
          </w:tcPr>
          <w:p w:rsidR="00081047" w:rsidRPr="00081047" w:rsidRDefault="00081047" w:rsidP="00081047">
            <w:pPr>
              <w:spacing w:line="276" w:lineRule="auto"/>
              <w:jc w:val="both"/>
              <w:rPr>
                <w:rFonts w:ascii="Calibri" w:eastAsia="Arial Unicode MS" w:hAnsi="Calibri" w:cs="Calibri"/>
                <w:lang w:val="es-ES_tradnl"/>
              </w:rPr>
            </w:pPr>
            <w:r w:rsidRPr="00081047">
              <w:rPr>
                <w:rFonts w:ascii="Calibri" w:eastAsia="Arial Unicode MS" w:hAnsi="Calibri" w:cs="Calibri"/>
                <w:lang w:val="es-ES_tradnl"/>
              </w:rPr>
              <w:t>20</w:t>
            </w:r>
          </w:p>
        </w:tc>
      </w:tr>
      <w:tr w:rsidR="00081047" w:rsidRPr="00081047" w:rsidTr="006F0582">
        <w:trPr>
          <w:trHeight w:val="338"/>
        </w:trPr>
        <w:tc>
          <w:tcPr>
            <w:tcW w:w="7506" w:type="dxa"/>
          </w:tcPr>
          <w:p w:rsidR="00081047" w:rsidRPr="00081047" w:rsidRDefault="00081047" w:rsidP="00081047">
            <w:pPr>
              <w:spacing w:line="276" w:lineRule="auto"/>
              <w:jc w:val="both"/>
              <w:rPr>
                <w:rFonts w:ascii="Calibri" w:eastAsia="Arial Unicode MS" w:hAnsi="Calibri" w:cs="Calibri"/>
                <w:b/>
                <w:lang w:val="es-ES_tradnl"/>
              </w:rPr>
            </w:pPr>
            <w:proofErr w:type="gramStart"/>
            <w:r w:rsidRPr="00081047">
              <w:rPr>
                <w:rFonts w:ascii="Calibri" w:eastAsia="Arial Unicode MS" w:hAnsi="Calibri" w:cs="Calibri"/>
                <w:b/>
                <w:lang w:val="es-ES_tradnl"/>
              </w:rPr>
              <w:t>Total</w:t>
            </w:r>
            <w:proofErr w:type="gramEnd"/>
            <w:r w:rsidRPr="00081047">
              <w:rPr>
                <w:rFonts w:ascii="Calibri" w:eastAsia="Arial Unicode MS" w:hAnsi="Calibri" w:cs="Calibri"/>
                <w:b/>
                <w:lang w:val="es-ES_tradnl"/>
              </w:rPr>
              <w:t xml:space="preserve"> Puntaje </w:t>
            </w:r>
          </w:p>
        </w:tc>
        <w:tc>
          <w:tcPr>
            <w:tcW w:w="1489" w:type="dxa"/>
          </w:tcPr>
          <w:p w:rsidR="00081047" w:rsidRPr="00081047" w:rsidRDefault="00081047" w:rsidP="00081047">
            <w:pPr>
              <w:spacing w:line="276" w:lineRule="auto"/>
              <w:jc w:val="both"/>
              <w:rPr>
                <w:rFonts w:ascii="Calibri" w:eastAsia="Arial Unicode MS" w:hAnsi="Calibri" w:cs="Calibri"/>
                <w:lang w:val="es-ES_tradnl"/>
              </w:rPr>
            </w:pPr>
            <w:r w:rsidRPr="00081047">
              <w:rPr>
                <w:rFonts w:ascii="Calibri" w:eastAsia="Arial Unicode MS" w:hAnsi="Calibri" w:cs="Calibri"/>
                <w:lang w:val="es-ES_tradnl"/>
              </w:rPr>
              <w:t xml:space="preserve">100 </w:t>
            </w:r>
          </w:p>
        </w:tc>
      </w:tr>
    </w:tbl>
    <w:p w:rsidR="00081047" w:rsidRDefault="00081047" w:rsidP="00BA6C87"/>
    <w:p w:rsidR="00081047" w:rsidRDefault="00081047" w:rsidP="00BA6C87"/>
    <w:p w:rsidR="00081047" w:rsidRDefault="00081047" w:rsidP="00BA6C87"/>
    <w:p w:rsidR="00BA6C87" w:rsidRDefault="00BA6C87" w:rsidP="00BA6C87">
      <w:r>
        <w:t>7. PLAZO DE EJECUCIÓN</w:t>
      </w:r>
    </w:p>
    <w:p w:rsidR="00BA6C87" w:rsidRDefault="00BA6C87" w:rsidP="00BA6C87">
      <w:r>
        <w:t>El plazo máximo de ejecución será de 30 días corridos, contados desde la aceptación de la Orden de Compra.</w:t>
      </w:r>
    </w:p>
    <w:p w:rsidR="00081047" w:rsidRDefault="00081047" w:rsidP="00BA6C87"/>
    <w:p w:rsidR="00BA6C87" w:rsidRDefault="00BA6C87" w:rsidP="00BA6C87">
      <w:r>
        <w:t>8. REVISIÓN Y APROBACIÓN</w:t>
      </w:r>
    </w:p>
    <w:p w:rsidR="000B2193" w:rsidRDefault="00BA6C87" w:rsidP="00BA6C87">
      <w:r>
        <w:t>La contraparte técnica municipal revisará los productos entregados y podrá formular observaciones para su ajuste.</w:t>
      </w:r>
    </w:p>
    <w:p w:rsidR="00BA6C87" w:rsidRDefault="00BA6C87" w:rsidP="00BA6C87">
      <w:r>
        <w:t>El proveedor deberá considerar al menos dos instancias de corrección sin costo adicional, hasta obtener la aprobación final de los productos.</w:t>
      </w:r>
    </w:p>
    <w:p w:rsidR="00361AE7" w:rsidRDefault="00BA6C87" w:rsidP="00BA6C87">
      <w:r>
        <w:t>La experiencia podrá acreditarse mediante portafolio, contratos, órdenes de compra, certificados de conformidad u otros antecedentes equivalentes.</w:t>
      </w:r>
    </w:p>
    <w:sectPr w:rsidR="00361A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F94FB2"/>
    <w:multiLevelType w:val="hybridMultilevel"/>
    <w:tmpl w:val="483445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C87"/>
    <w:rsid w:val="00081047"/>
    <w:rsid w:val="000B2193"/>
    <w:rsid w:val="00223C40"/>
    <w:rsid w:val="00361AE7"/>
    <w:rsid w:val="004027B9"/>
    <w:rsid w:val="00485B47"/>
    <w:rsid w:val="00BA6C87"/>
    <w:rsid w:val="00C224DF"/>
    <w:rsid w:val="00FE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F1E0A"/>
  <w15:chartTrackingRefBased/>
  <w15:docId w15:val="{F862087A-A9AE-402C-9FE5-1F1D053D3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810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774</Words>
  <Characters>4258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Squella Reinoso</dc:creator>
  <cp:keywords/>
  <dc:description/>
  <cp:lastModifiedBy>Karen Squella Reinoso</cp:lastModifiedBy>
  <cp:revision>5</cp:revision>
  <dcterms:created xsi:type="dcterms:W3CDTF">2026-10-26T14:43:00Z</dcterms:created>
  <dcterms:modified xsi:type="dcterms:W3CDTF">2026-10-26T19:09:00Z</dcterms:modified>
</cp:coreProperties>
</file>