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2B3A55"/>
          <w:sz w:val="28"/>
        </w:rPr>
        <w:t>STUDIOS CONARI SpA</w:t>
      </w:r>
    </w:p>
    <w:p>
      <w:pPr>
        <w:spacing w:after="60"/>
      </w:pPr>
      <w:r>
        <w:rPr>
          <w:b w:val="0"/>
        </w:rPr>
        <w:t>RUT 78.465.252-1 · Colo Colo 379, oficina 706, Concepción, Región del Biobío</w:t>
      </w:r>
    </w:p>
    <w:p>
      <w:pPr>
        <w:spacing w:after="60"/>
      </w:pPr>
      <w:r>
        <w:rPr>
          <w:b w:val="0"/>
        </w:rPr>
        <w:t>postulaciones@studiosconari.cl · +56 9 8759 8952 · https://studiosconari.cl</w:t>
      </w:r>
    </w:p>
    <w:p>
      <w:pPr>
        <w:spacing w:after="60"/>
      </w:pPr>
      <w:r>
        <w:rPr>
          <w:b w:val="0"/>
        </w:rPr>
      </w:r>
    </w:p>
    <w:p>
      <w:pPr>
        <w:spacing w:after="60"/>
        <w:jc w:val="center"/>
      </w:pPr>
      <w:r>
        <w:rPr>
          <w:b/>
          <w:sz w:val="26"/>
        </w:rPr>
        <w:t>COTIZACIÓN</w:t>
      </w:r>
    </w:p>
    <w:p>
      <w:pPr>
        <w:spacing w:after="60"/>
        <w:jc w:val="right"/>
      </w:pPr>
      <w:r>
        <w:rPr>
          <w:b w:val="0"/>
        </w:rPr>
        <w:t>Fecha: 26-10-2026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Organismo</w:t>
            </w:r>
          </w:p>
        </w:tc>
        <w:tc>
          <w:tcPr>
            <w:tcW w:type="dxa" w:w="4873"/>
          </w:tcPr>
          <w:p>
            <w:r>
              <w:t>I. Municipalidad de Valdivia – Departamento de Medio Ambiente</w:t>
            </w:r>
          </w:p>
        </w:tc>
      </w:tr>
      <w:tr>
        <w:tc>
          <w:tcPr>
            <w:tcW w:type="dxa" w:w="4873"/>
          </w:tcPr>
          <w:p>
            <w:r>
              <w:t>Proceso</w:t>
            </w:r>
          </w:p>
        </w:tc>
        <w:tc>
          <w:tcPr>
            <w:tcW w:type="dxa" w:w="4873"/>
          </w:tcPr>
          <w:p>
            <w:r>
              <w:t>2281-1927-COT26 — Compra ágil</w:t>
            </w:r>
          </w:p>
        </w:tc>
      </w:tr>
      <w:tr>
        <w:tc>
          <w:tcPr>
            <w:tcW w:type="dxa" w:w="4873"/>
          </w:tcPr>
          <w:p>
            <w:r>
              <w:t>Nombre del proceso</w:t>
            </w:r>
          </w:p>
        </w:tc>
        <w:tc>
          <w:tcPr>
            <w:tcW w:type="dxa" w:w="4873"/>
          </w:tcPr>
          <w:p>
            <w:r>
              <w:t>Servicio de diseño de material educativo y de difusión para el Programa Aire y Humedales</w:t>
            </w:r>
          </w:p>
        </w:tc>
      </w:tr>
    </w:tbl>
    <w:p>
      <w:pPr>
        <w:spacing w:after="60"/>
      </w:pPr>
      <w:r>
        <w:rPr>
          <w:b w:val="0"/>
        </w:rPr>
      </w:r>
    </w:p>
    <w:p>
      <w:pPr>
        <w:spacing w:after="60"/>
      </w:pPr>
      <w:r>
        <w:rPr>
          <w:b/>
          <w:sz w:val="22"/>
        </w:rPr>
        <w:t>1. Servicio ofrecido</w:t>
      </w:r>
    </w:p>
    <w:p>
      <w:pPr>
        <w:spacing w:after="60"/>
      </w:pPr>
      <w:r>
        <w:rPr>
          <w:b w:val="0"/>
        </w:rPr>
        <w:t>• Diseño gráfico de un conjunto de materiales educativos y de difusión para educación ambiental sobre humedales y borde costero (piezas según términos de referencia).</w:t>
      </w:r>
    </w:p>
    <w:p>
      <w:pPr>
        <w:spacing w:after="60"/>
      </w:pPr>
      <w:r>
        <w:rPr>
          <w:b w:val="0"/>
        </w:rPr>
        <w:t>• Ilustraciones propias de la biodiversidad de humedales y ecosistemas costeros.</w:t>
      </w:r>
    </w:p>
    <w:p>
      <w:pPr>
        <w:spacing w:after="60"/>
      </w:pPr>
      <w:r>
        <w:rPr>
          <w:b w:val="0"/>
        </w:rPr>
        <w:t>• Material gráfico de apoyo para actividades educativas y de difusión ambiental.</w:t>
      </w:r>
    </w:p>
    <w:p>
      <w:pPr>
        <w:spacing w:after="60"/>
      </w:pPr>
      <w:r>
        <w:rPr>
          <w:b w:val="0"/>
        </w:rPr>
        <w:t>• Entrega en archivos digitales listos para imprenta y para redes: PDF (alta resolución), SVG/EPS editables y PNG/JPG. No incluye impresión.</w:t>
      </w:r>
    </w:p>
    <w:p>
      <w:pPr>
        <w:spacing w:after="60"/>
      </w:pPr>
      <w:r>
        <w:rPr>
          <w:b w:val="0"/>
        </w:rPr>
        <w:t>• Hasta 2 rondas de correcciones por pieza.</w:t>
      </w:r>
    </w:p>
    <w:p>
      <w:pPr>
        <w:spacing w:after="60"/>
      </w:pPr>
      <w:r>
        <w:rPr>
          <w:b w:val="0"/>
        </w:rPr>
      </w:r>
    </w:p>
    <w:p>
      <w:pPr>
        <w:spacing w:after="60"/>
      </w:pPr>
      <w:r>
        <w:rPr>
          <w:b/>
          <w:sz w:val="22"/>
        </w:rPr>
        <w:t>2. Valores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t>Ítem</w:t>
            </w:r>
          </w:p>
        </w:tc>
        <w:tc>
          <w:tcPr>
            <w:tcW w:type="dxa" w:w="2436"/>
          </w:tcPr>
          <w:p>
            <w:r>
              <w:t>Cantidad</w:t>
            </w:r>
          </w:p>
        </w:tc>
        <w:tc>
          <w:tcPr>
            <w:tcW w:type="dxa" w:w="2436"/>
          </w:tcPr>
          <w:p>
            <w:r>
              <w:t>Valor unitario neto</w:t>
            </w:r>
          </w:p>
        </w:tc>
        <w:tc>
          <w:tcPr>
            <w:tcW w:type="dxa" w:w="2436"/>
          </w:tcPr>
          <w:p>
            <w:r>
              <w:t>Total neto</w:t>
            </w:r>
          </w:p>
        </w:tc>
      </w:tr>
      <w:tr>
        <w:tc>
          <w:tcPr>
            <w:tcW w:type="dxa" w:w="2436"/>
          </w:tcPr>
          <w:p>
            <w:r>
              <w:t>Diseño de material educativo y de difusión (archivos digitales)</w:t>
            </w:r>
          </w:p>
        </w:tc>
        <w:tc>
          <w:tcPr>
            <w:tcW w:type="dxa" w:w="2436"/>
          </w:tcPr>
          <w:p>
            <w:r>
              <w:t>1</w:t>
            </w:r>
          </w:p>
        </w:tc>
        <w:tc>
          <w:tcPr>
            <w:tcW w:type="dxa" w:w="2436"/>
          </w:tcPr>
          <w:p>
            <w:r>
              <w:t>$ 895.000</w:t>
            </w:r>
          </w:p>
        </w:tc>
        <w:tc>
          <w:tcPr>
            <w:tcW w:type="dxa" w:w="2436"/>
          </w:tcPr>
          <w:p>
            <w:r>
              <w:t>$ 895.000</w:t>
            </w:r>
          </w:p>
        </w:tc>
      </w:tr>
      <w:tr>
        <w:tc>
          <w:tcPr>
            <w:tcW w:type="dxa" w:w="2436"/>
          </w:tcPr>
          <w:p>
            <w:r>
              <w:t>Total neto</w:t>
            </w:r>
          </w:p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>
            <w:r>
              <w:t>$ 895.000</w:t>
            </w:r>
          </w:p>
        </w:tc>
      </w:tr>
      <w:tr>
        <w:tc>
          <w:tcPr>
            <w:tcW w:type="dxa" w:w="2436"/>
          </w:tcPr>
          <w:p>
            <w:r>
              <w:t>IVA 19 %</w:t>
            </w:r>
          </w:p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>
            <w:r>
              <w:t>$ 170.050</w:t>
            </w:r>
          </w:p>
        </w:tc>
      </w:tr>
      <w:tr>
        <w:tc>
          <w:tcPr>
            <w:tcW w:type="dxa" w:w="2436"/>
          </w:tcPr>
          <w:p>
            <w:r>
              <w:t>Total con IVA</w:t>
            </w:r>
          </w:p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>
            <w:r>
              <w:t>$ 1.065.050</w:t>
            </w:r>
          </w:p>
        </w:tc>
      </w:tr>
    </w:tbl>
    <w:p>
      <w:pPr>
        <w:spacing w:after="60"/>
      </w:pPr>
      <w:r>
        <w:rPr>
          <w:b w:val="0"/>
        </w:rPr>
      </w:r>
    </w:p>
    <w:p>
      <w:pPr>
        <w:spacing w:after="60"/>
      </w:pPr>
      <w:r>
        <w:rPr>
          <w:b/>
          <w:sz w:val="22"/>
        </w:rPr>
        <w:t>3. Condiciones</w:t>
      </w:r>
    </w:p>
    <w:p>
      <w:pPr>
        <w:spacing w:after="60"/>
      </w:pPr>
      <w:r>
        <w:rPr>
          <w:b w:val="0"/>
        </w:rPr>
        <w:t>• Validez de la oferta: 30 días corridos.</w:t>
      </w:r>
    </w:p>
    <w:p>
      <w:pPr>
        <w:spacing w:after="60"/>
      </w:pPr>
      <w:r>
        <w:rPr>
          <w:b w:val="0"/>
        </w:rPr>
        <w:t>• Plazo: dentro de los 30 días indicados en la compra.</w:t>
      </w:r>
    </w:p>
    <w:p>
      <w:pPr>
        <w:spacing w:after="60"/>
      </w:pPr>
      <w:r>
        <w:rPr>
          <w:b w:val="0"/>
        </w:rPr>
        <w:t>• Trabajo 100 % remoto desde Concepción.</w:t>
      </w:r>
    </w:p>
    <w:p>
      <w:pPr>
        <w:spacing w:after="60"/>
      </w:pPr>
      <w:r>
        <w:rPr>
          <w:b w:val="0"/>
        </w:rPr>
        <w:t>• Precio neto; se factura con IVA. Total con IVA dentro del presupuesto publicado.</w:t>
      </w:r>
    </w:p>
    <w:p>
      <w:pPr>
        <w:spacing w:after="60"/>
      </w:pPr>
      <w:r>
        <w:rPr>
          <w:b w:val="0"/>
        </w:rPr>
        <w:t>• Herramientas: Inkscape/Scribus/Krita; entrega en formatos estándar (PDF, SVG, EPS, PNG).</w:t>
      </w:r>
    </w:p>
    <w:p>
      <w:pPr>
        <w:spacing w:after="60"/>
      </w:pPr>
      <w:r>
        <w:rPr>
          <w:b w:val="0"/>
        </w:rPr>
      </w:r>
    </w:p>
    <w:p>
      <w:pPr>
        <w:spacing w:after="60"/>
      </w:pPr>
      <w:r>
        <w:rPr>
          <w:b/>
          <w:sz w:val="22"/>
        </w:rPr>
        <w:t>4. Equipo</w:t>
      </w:r>
    </w:p>
    <w:p>
      <w:pPr>
        <w:spacing w:after="60"/>
      </w:pPr>
      <w:r>
        <w:rPr>
          <w:b w:val="0"/>
        </w:rPr>
        <w:t>• María Inés Cisterna Escobar: ilustración y diagramación; contenidos educativos.</w:t>
      </w:r>
    </w:p>
    <w:p>
      <w:pPr>
        <w:spacing w:after="60"/>
      </w:pPr>
      <w:r>
        <w:rPr>
          <w:b w:val="0"/>
        </w:rPr>
        <w:t>• Kevin del Río Morgado: apoyo en formatos digitales.</w:t>
      </w:r>
    </w:p>
    <w:p>
      <w:pPr>
        <w:spacing w:after="60"/>
      </w:pPr>
      <w:r>
        <w:rPr>
          <w:b w:val="0"/>
        </w:rPr>
      </w:r>
    </w:p>
    <w:p>
      <w:pPr>
        <w:spacing w:after="60"/>
      </w:pPr>
      <w:r>
        <w:rPr>
          <w:b/>
          <w:sz w:val="22"/>
        </w:rPr>
        <w:t>5. Muestras de capacidad (proyectos propios, no son experiencia con clientes)</w:t>
      </w:r>
    </w:p>
    <w:p>
      <w:pPr>
        <w:spacing w:after="60"/>
      </w:pPr>
      <w:r>
        <w:rPr>
          <w:b w:val="0"/>
        </w:rPr>
        <w:t>• https://manecist.github.io/Matrona/capsula.html</w:t>
      </w:r>
    </w:p>
    <w:p>
      <w:pPr>
        <w:spacing w:after="60"/>
      </w:pPr>
      <w:r>
        <w:rPr>
          <w:b w:val="0"/>
        </w:rPr>
        <w:t>• https://studiosconari.github.io</w:t>
      </w:r>
    </w:p>
    <w:p>
      <w:pPr>
        <w:spacing w:after="60"/>
      </w:pPr>
      <w:r>
        <w:rPr>
          <w:b w:val="0"/>
        </w:rPr>
      </w:r>
    </w:p>
    <w:p>
      <w:pPr>
        <w:spacing w:after="60"/>
      </w:pPr>
      <w:r>
        <w:rPr>
          <w:b w:val="0"/>
        </w:rPr>
      </w:r>
    </w:p>
    <w:p>
      <w:pPr>
        <w:spacing w:after="60"/>
      </w:pPr>
      <w:r>
        <w:rPr>
          <w:b w:val="0"/>
        </w:rPr>
        <w:t>______________________________</w:t>
      </w:r>
    </w:p>
    <w:p>
      <w:pPr>
        <w:spacing w:after="60"/>
      </w:pPr>
      <w:r>
        <w:rPr>
          <w:b w:val="0"/>
        </w:rPr>
        <w:t>María Inés Cisterna Escobar</w:t>
      </w:r>
    </w:p>
    <w:p>
      <w:pPr>
        <w:spacing w:after="60"/>
      </w:pPr>
      <w:r>
        <w:rPr>
          <w:b w:val="0"/>
        </w:rPr>
        <w:t>Socia fundadora y administradora</w:t>
      </w:r>
    </w:p>
    <w:p>
      <w:pPr>
        <w:spacing w:after="60"/>
      </w:pPr>
      <w:r>
        <w:rPr>
          <w:b w:val="0"/>
        </w:rPr>
        <w:t>Studios Conari SpA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