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611551" w14:textId="77777777" w:rsidR="00DF008B" w:rsidRDefault="00DF008B" w:rsidP="00766C8E">
      <w:pPr>
        <w:spacing w:after="0" w:line="480" w:lineRule="auto"/>
        <w:rPr>
          <w:rFonts w:ascii="Times New Roman" w:hAnsi="Times New Roman" w:cs="Times New Roman"/>
          <w:sz w:val="24"/>
        </w:rPr>
      </w:pPr>
      <w:bookmarkStart w:id="0" w:name="_Hlk169456158"/>
      <w:r>
        <w:rPr>
          <w:rFonts w:ascii="Times New Roman" w:hAnsi="Times New Roman" w:cs="Times New Roman"/>
          <w:sz w:val="24"/>
        </w:rPr>
        <w:t>Kaya Nelson</w:t>
      </w:r>
    </w:p>
    <w:p w14:paraId="157B8F95" w14:textId="77777777" w:rsidR="00DF008B" w:rsidRDefault="00DF008B" w:rsidP="00766C8E">
      <w:pPr>
        <w:spacing w:after="0" w:line="480" w:lineRule="auto"/>
        <w:rPr>
          <w:rFonts w:ascii="Times New Roman" w:hAnsi="Times New Roman" w:cs="Times New Roman"/>
          <w:sz w:val="24"/>
        </w:rPr>
      </w:pPr>
      <w:r>
        <w:rPr>
          <w:rFonts w:ascii="Times New Roman" w:hAnsi="Times New Roman" w:cs="Times New Roman"/>
          <w:sz w:val="24"/>
        </w:rPr>
        <w:t>CST – 221</w:t>
      </w:r>
    </w:p>
    <w:p w14:paraId="404001B9" w14:textId="77777777" w:rsidR="00DF008B" w:rsidRDefault="00DF008B" w:rsidP="00766C8E">
      <w:pPr>
        <w:spacing w:after="0" w:line="480" w:lineRule="auto"/>
        <w:rPr>
          <w:rFonts w:ascii="Times New Roman" w:hAnsi="Times New Roman" w:cs="Times New Roman"/>
          <w:sz w:val="24"/>
        </w:rPr>
      </w:pPr>
      <w:r>
        <w:rPr>
          <w:rFonts w:ascii="Times New Roman" w:hAnsi="Times New Roman" w:cs="Times New Roman"/>
          <w:sz w:val="24"/>
        </w:rPr>
        <w:t>Micheal Landreth</w:t>
      </w:r>
    </w:p>
    <w:p w14:paraId="728EF1B1" w14:textId="77777777" w:rsidR="00DF008B" w:rsidRDefault="00DF008B" w:rsidP="00766C8E">
      <w:pPr>
        <w:spacing w:after="0" w:line="480" w:lineRule="auto"/>
        <w:rPr>
          <w:rFonts w:ascii="Times New Roman" w:hAnsi="Times New Roman" w:cs="Times New Roman"/>
          <w:sz w:val="24"/>
        </w:rPr>
      </w:pPr>
      <w:r>
        <w:rPr>
          <w:rFonts w:ascii="Times New Roman" w:hAnsi="Times New Roman" w:cs="Times New Roman"/>
          <w:sz w:val="24"/>
        </w:rPr>
        <w:t>06/16/2024</w:t>
      </w:r>
    </w:p>
    <w:p w14:paraId="70DB0B2F" w14:textId="4BFA4C1A" w:rsidR="00DF008B" w:rsidRDefault="00DF008B" w:rsidP="00766C8E">
      <w:pPr>
        <w:spacing w:after="0" w:line="480" w:lineRule="auto"/>
      </w:pPr>
      <w:r>
        <w:rPr>
          <w:rFonts w:ascii="Times New Roman" w:hAnsi="Times New Roman" w:cs="Times New Roman"/>
          <w:sz w:val="24"/>
        </w:rPr>
        <w:t xml:space="preserve">GitHub Link: </w:t>
      </w:r>
      <w:hyperlink r:id="rId4" w:history="1">
        <w:proofErr w:type="spellStart"/>
        <w:r>
          <w:rPr>
            <w:rStyle w:val="Hyperlink"/>
          </w:rPr>
          <w:t>Kdeshun</w:t>
        </w:r>
        <w:proofErr w:type="spellEnd"/>
        <w:r>
          <w:rPr>
            <w:rStyle w:val="Hyperlink"/>
          </w:rPr>
          <w:t>/CST-221-WEEK-7 (github.com)</w:t>
        </w:r>
      </w:hyperlink>
    </w:p>
    <w:p w14:paraId="0FE9EB0F" w14:textId="7A41CE4C" w:rsidR="00DF008B" w:rsidRDefault="00DF008B" w:rsidP="00766C8E">
      <w:pPr>
        <w:spacing w:after="160" w:line="480" w:lineRule="auto"/>
      </w:pPr>
      <w:r>
        <w:br w:type="page"/>
      </w:r>
    </w:p>
    <w:p w14:paraId="114C53CF" w14:textId="77777777" w:rsidR="00DF008B" w:rsidRDefault="00DF008B" w:rsidP="00766C8E">
      <w:pPr>
        <w:spacing w:after="0" w:line="480" w:lineRule="auto"/>
        <w:jc w:val="center"/>
        <w:rPr>
          <w:rFonts w:ascii="Times New Roman" w:hAnsi="Times New Roman" w:cs="Times New Roman"/>
          <w:sz w:val="24"/>
        </w:rPr>
      </w:pPr>
      <w:r>
        <w:rPr>
          <w:rFonts w:ascii="Times New Roman" w:hAnsi="Times New Roman" w:cs="Times New Roman"/>
          <w:b/>
          <w:sz w:val="24"/>
        </w:rPr>
        <w:lastRenderedPageBreak/>
        <w:t>Assessing Virtualization Software</w:t>
      </w:r>
    </w:p>
    <w:p w14:paraId="38659AF8" w14:textId="77777777" w:rsidR="00DF008B" w:rsidRPr="00DF008B" w:rsidRDefault="00DF008B" w:rsidP="00766C8E">
      <w:pPr>
        <w:spacing w:after="0" w:line="480" w:lineRule="auto"/>
        <w:rPr>
          <w:rFonts w:ascii="Times New Roman" w:hAnsi="Times New Roman" w:cs="Times New Roman"/>
          <w:i/>
          <w:iCs/>
          <w:sz w:val="24"/>
          <w:szCs w:val="24"/>
          <w:u w:val="single"/>
        </w:rPr>
      </w:pPr>
      <w:r w:rsidRPr="00DF008B">
        <w:rPr>
          <w:rFonts w:ascii="Times New Roman" w:hAnsi="Times New Roman" w:cs="Times New Roman"/>
          <w:i/>
          <w:iCs/>
          <w:sz w:val="24"/>
          <w:szCs w:val="24"/>
          <w:u w:val="single"/>
        </w:rPr>
        <w:t>Exploring the Benefits of Hyperconverged Infrastructure</w:t>
      </w:r>
    </w:p>
    <w:p w14:paraId="2CF6F4CF" w14:textId="77777777" w:rsidR="00DF008B" w:rsidRPr="00DF008B" w:rsidRDefault="00DF008B" w:rsidP="00766C8E">
      <w:pPr>
        <w:spacing w:after="0" w:line="480" w:lineRule="auto"/>
        <w:rPr>
          <w:rFonts w:ascii="Times New Roman" w:hAnsi="Times New Roman" w:cs="Times New Roman"/>
          <w:sz w:val="24"/>
          <w:szCs w:val="24"/>
        </w:rPr>
      </w:pPr>
      <w:r w:rsidRPr="00DF008B">
        <w:rPr>
          <w:rFonts w:ascii="Times New Roman" w:hAnsi="Times New Roman" w:cs="Times New Roman"/>
          <w:sz w:val="24"/>
          <w:szCs w:val="24"/>
        </w:rPr>
        <w:t>The topic I have chosen to investigate is the emerging paradigm of Hyperconverged Infrastructure (HCI). HCI represents the convergence of compute, storage, and virtualization resources into a unified, software-defined system, offering enhanced deployment, management, and scalability capabilities for datacenter environments.</w:t>
      </w:r>
    </w:p>
    <w:p w14:paraId="191A8570" w14:textId="77777777" w:rsidR="00DF008B" w:rsidRPr="00DF008B" w:rsidRDefault="00DF008B" w:rsidP="00766C8E">
      <w:pPr>
        <w:spacing w:after="0" w:line="480" w:lineRule="auto"/>
        <w:rPr>
          <w:rFonts w:ascii="Times New Roman" w:hAnsi="Times New Roman" w:cs="Times New Roman"/>
          <w:sz w:val="24"/>
          <w:szCs w:val="24"/>
        </w:rPr>
      </w:pPr>
      <w:r w:rsidRPr="00DF008B">
        <w:rPr>
          <w:rFonts w:ascii="Times New Roman" w:hAnsi="Times New Roman" w:cs="Times New Roman"/>
          <w:sz w:val="24"/>
          <w:szCs w:val="24"/>
        </w:rPr>
        <w:t>In traditional IT infrastructure, hardware components are typically segmented and configured to work in conjunction with different software interfaces and operating systems. For instance, servers often have their own dedicated software management, networking equipment utilizes specialized hardware and software for integration, and storage systems require careful integration with the kernel and memory management subsystems.</w:t>
      </w:r>
    </w:p>
    <w:p w14:paraId="297DE42B" w14:textId="77777777" w:rsidR="00DF008B" w:rsidRPr="00DF008B" w:rsidRDefault="00DF008B" w:rsidP="00766C8E">
      <w:pPr>
        <w:spacing w:after="0" w:line="480" w:lineRule="auto"/>
        <w:rPr>
          <w:rFonts w:ascii="Times New Roman" w:hAnsi="Times New Roman" w:cs="Times New Roman"/>
          <w:sz w:val="24"/>
          <w:szCs w:val="24"/>
        </w:rPr>
      </w:pPr>
      <w:r w:rsidRPr="00DF008B">
        <w:rPr>
          <w:rFonts w:ascii="Times New Roman" w:hAnsi="Times New Roman" w:cs="Times New Roman"/>
          <w:sz w:val="24"/>
          <w:szCs w:val="24"/>
        </w:rPr>
        <w:t>In contrast, HCI revolutionizes this approach by consolidating all these disparate components into a single, virtualized system that is managed through a common set of tools and interfaces. This fundamental shift allows for dynamic resource allocation, where the HCI infrastructure can automatically adjust and provision additional compute, storage, or virtualization resources as needed, seamlessly scaling to meet the evolving demands of the organization.</w:t>
      </w:r>
    </w:p>
    <w:p w14:paraId="5DA70E3A" w14:textId="77777777" w:rsidR="00DF008B" w:rsidRPr="00DF008B" w:rsidRDefault="00DF008B" w:rsidP="00766C8E">
      <w:pPr>
        <w:spacing w:after="0" w:line="480" w:lineRule="auto"/>
        <w:rPr>
          <w:rFonts w:ascii="Times New Roman" w:hAnsi="Times New Roman" w:cs="Times New Roman"/>
          <w:sz w:val="24"/>
          <w:szCs w:val="24"/>
        </w:rPr>
      </w:pPr>
      <w:r w:rsidRPr="00DF008B">
        <w:rPr>
          <w:rFonts w:ascii="Times New Roman" w:hAnsi="Times New Roman" w:cs="Times New Roman"/>
          <w:sz w:val="24"/>
          <w:szCs w:val="24"/>
        </w:rPr>
        <w:t xml:space="preserve">The key advantage of this HCI model is the streamlined deployment and management of datacenter resources. By unifying the management of </w:t>
      </w:r>
      <w:proofErr w:type="gramStart"/>
      <w:r w:rsidRPr="00DF008B">
        <w:rPr>
          <w:rFonts w:ascii="Times New Roman" w:hAnsi="Times New Roman" w:cs="Times New Roman"/>
          <w:sz w:val="24"/>
          <w:szCs w:val="24"/>
        </w:rPr>
        <w:t>compute</w:t>
      </w:r>
      <w:proofErr w:type="gramEnd"/>
      <w:r w:rsidRPr="00DF008B">
        <w:rPr>
          <w:rFonts w:ascii="Times New Roman" w:hAnsi="Times New Roman" w:cs="Times New Roman"/>
          <w:sz w:val="24"/>
          <w:szCs w:val="24"/>
        </w:rPr>
        <w:t>, storage, and virtualization under a single platform, IT administrators can significantly reduce the complexity and overhead associated with traditional infrastructure management. This, in turn, enhances the agility and responsiveness of the organization, enabling faster adaptation to changing business requirements.</w:t>
      </w:r>
    </w:p>
    <w:p w14:paraId="6CD9A148" w14:textId="77777777" w:rsidR="00DF008B" w:rsidRPr="00DF008B" w:rsidRDefault="00DF008B" w:rsidP="00766C8E">
      <w:pPr>
        <w:spacing w:after="0" w:line="480" w:lineRule="auto"/>
        <w:rPr>
          <w:rFonts w:ascii="Times New Roman" w:hAnsi="Times New Roman" w:cs="Times New Roman"/>
          <w:sz w:val="24"/>
          <w:szCs w:val="24"/>
        </w:rPr>
      </w:pPr>
      <w:r w:rsidRPr="00DF008B">
        <w:rPr>
          <w:rFonts w:ascii="Times New Roman" w:hAnsi="Times New Roman" w:cs="Times New Roman"/>
          <w:sz w:val="24"/>
          <w:szCs w:val="24"/>
        </w:rPr>
        <w:t xml:space="preserve">Moreover, the scalable nature of HCI allows organizations to expand their infrastructure incrementally by adding new nodes to the system, rather than undertaking costly and disruptive </w:t>
      </w:r>
      <w:r w:rsidRPr="00DF008B">
        <w:rPr>
          <w:rFonts w:ascii="Times New Roman" w:hAnsi="Times New Roman" w:cs="Times New Roman"/>
          <w:sz w:val="24"/>
          <w:szCs w:val="24"/>
        </w:rPr>
        <w:lastRenderedPageBreak/>
        <w:t>forklift upgrades. This modular approach to scaling enables organizations to maintain a flexible and adaptable IT environment, capable of keeping pace with the ever-evolving needs of modern business.</w:t>
      </w:r>
    </w:p>
    <w:p w14:paraId="740D3BAB" w14:textId="77777777" w:rsidR="00DF008B" w:rsidRPr="00DF008B" w:rsidRDefault="00DF008B" w:rsidP="00766C8E">
      <w:pPr>
        <w:spacing w:after="0" w:line="480" w:lineRule="auto"/>
        <w:rPr>
          <w:rFonts w:ascii="Times New Roman" w:hAnsi="Times New Roman" w:cs="Times New Roman"/>
          <w:sz w:val="24"/>
          <w:szCs w:val="24"/>
        </w:rPr>
      </w:pPr>
      <w:r w:rsidRPr="00DF008B">
        <w:rPr>
          <w:rFonts w:ascii="Times New Roman" w:hAnsi="Times New Roman" w:cs="Times New Roman"/>
          <w:sz w:val="24"/>
          <w:szCs w:val="24"/>
        </w:rPr>
        <w:t>In summary, the adoption of Hyperconverged Infrastructure represents a transformative shift in the way organizations approach their datacenter infrastructure. By consolidating compute, storage, and virtualization into a unified, software-defined system, HCI empowers IT teams to streamline deployment, enhance management, and seamlessly scale their infrastructure to meet the dynamic demands of the digital landscape.</w:t>
      </w:r>
    </w:p>
    <w:p w14:paraId="499423A2" w14:textId="68ED2CD1" w:rsidR="00DF008B" w:rsidRPr="00766C8E" w:rsidRDefault="00DF008B" w:rsidP="00766C8E">
      <w:pPr>
        <w:spacing w:after="160" w:line="480" w:lineRule="auto"/>
        <w:rPr>
          <w:rFonts w:ascii="Times New Roman" w:hAnsi="Times New Roman" w:cs="Times New Roman"/>
          <w:sz w:val="24"/>
          <w:szCs w:val="24"/>
        </w:rPr>
      </w:pPr>
      <w:r w:rsidRPr="00766C8E">
        <w:rPr>
          <w:rFonts w:ascii="Times New Roman" w:hAnsi="Times New Roman" w:cs="Times New Roman"/>
          <w:sz w:val="24"/>
          <w:szCs w:val="24"/>
        </w:rPr>
        <w:br w:type="page"/>
      </w:r>
    </w:p>
    <w:p w14:paraId="5D4A329A" w14:textId="77777777" w:rsidR="00DF008B" w:rsidRPr="00766C8E" w:rsidRDefault="00DF008B" w:rsidP="00766C8E">
      <w:pPr>
        <w:spacing w:after="0" w:line="480" w:lineRule="auto"/>
        <w:rPr>
          <w:rFonts w:ascii="Times New Roman" w:hAnsi="Times New Roman" w:cs="Times New Roman"/>
          <w:i/>
          <w:sz w:val="24"/>
          <w:szCs w:val="24"/>
        </w:rPr>
      </w:pPr>
      <w:r w:rsidRPr="00766C8E">
        <w:rPr>
          <w:rFonts w:ascii="Times New Roman" w:hAnsi="Times New Roman" w:cs="Times New Roman"/>
          <w:i/>
          <w:sz w:val="24"/>
          <w:szCs w:val="24"/>
        </w:rPr>
        <w:lastRenderedPageBreak/>
        <w:t>Diagram of architecture of the virtualization environment</w:t>
      </w:r>
    </w:p>
    <w:p w14:paraId="02842055" w14:textId="377A9043" w:rsidR="00DF008B" w:rsidRPr="00766C8E" w:rsidRDefault="00DF008B" w:rsidP="00766C8E">
      <w:pPr>
        <w:spacing w:line="480" w:lineRule="auto"/>
        <w:rPr>
          <w:rFonts w:ascii="Times New Roman" w:hAnsi="Times New Roman" w:cs="Times New Roman"/>
          <w:sz w:val="24"/>
          <w:szCs w:val="24"/>
        </w:rPr>
      </w:pPr>
      <w:r w:rsidRPr="00766C8E">
        <w:rPr>
          <w:rFonts w:ascii="Times New Roman" w:hAnsi="Times New Roman" w:cs="Times New Roman"/>
          <w:noProof/>
          <w:sz w:val="24"/>
          <w:szCs w:val="24"/>
        </w:rPr>
        <w:drawing>
          <wp:inline distT="0" distB="0" distL="0" distR="0" wp14:anchorId="25389615" wp14:editId="73FD1D2C">
            <wp:extent cx="3448050" cy="3048000"/>
            <wp:effectExtent l="0" t="0" r="0" b="0"/>
            <wp:docPr id="1398152250" name="Picture 3"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152250" name="Picture 3" descr="A diagram of a computer network&#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48050" cy="3048000"/>
                    </a:xfrm>
                    <a:prstGeom prst="rect">
                      <a:avLst/>
                    </a:prstGeom>
                    <a:noFill/>
                    <a:ln>
                      <a:noFill/>
                    </a:ln>
                  </pic:spPr>
                </pic:pic>
              </a:graphicData>
            </a:graphic>
          </wp:inline>
        </w:drawing>
      </w:r>
    </w:p>
    <w:p w14:paraId="21D8FCF3" w14:textId="61DE4ED6" w:rsidR="00DF008B" w:rsidRPr="00766C8E" w:rsidRDefault="00DF008B" w:rsidP="00766C8E">
      <w:pPr>
        <w:spacing w:line="480" w:lineRule="auto"/>
        <w:rPr>
          <w:rFonts w:ascii="Times New Roman" w:hAnsi="Times New Roman" w:cs="Times New Roman"/>
          <w:sz w:val="24"/>
          <w:szCs w:val="24"/>
        </w:rPr>
      </w:pPr>
      <w:r w:rsidRPr="00766C8E">
        <w:rPr>
          <w:rFonts w:ascii="Times New Roman" w:hAnsi="Times New Roman" w:cs="Times New Roman"/>
          <w:noProof/>
          <w:sz w:val="24"/>
          <w:szCs w:val="24"/>
        </w:rPr>
        <w:drawing>
          <wp:inline distT="0" distB="0" distL="0" distR="0" wp14:anchorId="06E27228" wp14:editId="50552216">
            <wp:extent cx="4829175" cy="1981200"/>
            <wp:effectExtent l="0" t="0" r="9525" b="0"/>
            <wp:docPr id="294379712" name="Picture 2" descr="A diagram of a diagram of a build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379712" name="Picture 2" descr="A diagram of a diagram of a building&#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9175" cy="1981200"/>
                    </a:xfrm>
                    <a:prstGeom prst="rect">
                      <a:avLst/>
                    </a:prstGeom>
                    <a:noFill/>
                    <a:ln>
                      <a:noFill/>
                    </a:ln>
                  </pic:spPr>
                </pic:pic>
              </a:graphicData>
            </a:graphic>
          </wp:inline>
        </w:drawing>
      </w:r>
    </w:p>
    <w:p w14:paraId="7128EE87" w14:textId="77777777" w:rsidR="00FD13BE" w:rsidRDefault="00DF008B" w:rsidP="00766C8E">
      <w:pPr>
        <w:spacing w:line="480" w:lineRule="auto"/>
        <w:rPr>
          <w:rFonts w:ascii="Times New Roman" w:hAnsi="Times New Roman" w:cs="Times New Roman"/>
          <w:sz w:val="24"/>
          <w:szCs w:val="24"/>
        </w:rPr>
      </w:pPr>
      <w:r w:rsidRPr="00766C8E">
        <w:rPr>
          <w:rFonts w:ascii="Times New Roman" w:hAnsi="Times New Roman" w:cs="Times New Roman"/>
          <w:noProof/>
          <w:sz w:val="24"/>
          <w:szCs w:val="24"/>
        </w:rPr>
        <w:lastRenderedPageBreak/>
        <w:drawing>
          <wp:inline distT="0" distB="0" distL="0" distR="0" wp14:anchorId="384229CB" wp14:editId="6D097EA1">
            <wp:extent cx="4962525" cy="2314575"/>
            <wp:effectExtent l="0" t="0" r="9525" b="9525"/>
            <wp:docPr id="1178251531" name="Picture 1" descr="A diagram of a computer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251531" name="Picture 1" descr="A diagram of a computer serv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2525" cy="2314575"/>
                    </a:xfrm>
                    <a:prstGeom prst="rect">
                      <a:avLst/>
                    </a:prstGeom>
                    <a:noFill/>
                    <a:ln>
                      <a:noFill/>
                    </a:ln>
                  </pic:spPr>
                </pic:pic>
              </a:graphicData>
            </a:graphic>
          </wp:inline>
        </w:drawing>
      </w:r>
    </w:p>
    <w:tbl>
      <w:tblPr>
        <w:tblW w:w="0" w:type="auto"/>
        <w:shd w:val="clear" w:color="auto" w:fill="242424"/>
        <w:tblCellMar>
          <w:top w:w="15" w:type="dxa"/>
          <w:left w:w="15" w:type="dxa"/>
          <w:bottom w:w="15" w:type="dxa"/>
          <w:right w:w="15" w:type="dxa"/>
        </w:tblCellMar>
        <w:tblLook w:val="04A0" w:firstRow="1" w:lastRow="0" w:firstColumn="1" w:lastColumn="0" w:noHBand="0" w:noVBand="1"/>
      </w:tblPr>
      <w:tblGrid>
        <w:gridCol w:w="1961"/>
        <w:gridCol w:w="910"/>
        <w:gridCol w:w="6473"/>
      </w:tblGrid>
      <w:tr w:rsidR="00AD0E40" w:rsidRPr="00AD0E40" w14:paraId="4377CEA3" w14:textId="77777777" w:rsidTr="00AD0E40">
        <w:trPr>
          <w:tblHeader/>
        </w:trPr>
        <w:tc>
          <w:tcPr>
            <w:tcW w:w="0" w:type="auto"/>
            <w:tcBorders>
              <w:top w:val="single" w:sz="6" w:space="0" w:color="auto"/>
              <w:left w:val="single" w:sz="6" w:space="0" w:color="auto"/>
              <w:bottom w:val="single" w:sz="6" w:space="0" w:color="auto"/>
              <w:right w:val="single" w:sz="6" w:space="0" w:color="auto"/>
            </w:tcBorders>
            <w:shd w:val="clear" w:color="auto" w:fill="242424"/>
            <w:tcMar>
              <w:top w:w="120" w:type="dxa"/>
              <w:left w:w="120" w:type="dxa"/>
              <w:bottom w:w="120" w:type="dxa"/>
              <w:right w:w="120" w:type="dxa"/>
            </w:tcMar>
            <w:vAlign w:val="center"/>
            <w:hideMark/>
          </w:tcPr>
          <w:p w14:paraId="1E04A949" w14:textId="77777777" w:rsidR="00AD0E40" w:rsidRPr="00AD0E40" w:rsidRDefault="00AD0E40" w:rsidP="00AD0E40">
            <w:pPr>
              <w:spacing w:line="480" w:lineRule="auto"/>
              <w:rPr>
                <w:rFonts w:ascii="Times New Roman" w:hAnsi="Times New Roman" w:cs="Times New Roman"/>
                <w:b/>
                <w:bCs/>
                <w:sz w:val="24"/>
                <w:szCs w:val="24"/>
              </w:rPr>
            </w:pPr>
            <w:r w:rsidRPr="00AD0E40">
              <w:rPr>
                <w:rFonts w:ascii="Times New Roman" w:hAnsi="Times New Roman" w:cs="Times New Roman"/>
                <w:b/>
                <w:bCs/>
                <w:sz w:val="24"/>
                <w:szCs w:val="24"/>
              </w:rPr>
              <w:t>Category</w:t>
            </w:r>
          </w:p>
        </w:tc>
        <w:tc>
          <w:tcPr>
            <w:tcW w:w="0" w:type="auto"/>
            <w:tcBorders>
              <w:top w:val="single" w:sz="6" w:space="0" w:color="auto"/>
              <w:left w:val="single" w:sz="6" w:space="0" w:color="auto"/>
              <w:bottom w:val="single" w:sz="6" w:space="0" w:color="auto"/>
              <w:right w:val="single" w:sz="6" w:space="0" w:color="auto"/>
            </w:tcBorders>
            <w:shd w:val="clear" w:color="auto" w:fill="242424"/>
            <w:tcMar>
              <w:top w:w="120" w:type="dxa"/>
              <w:left w:w="120" w:type="dxa"/>
              <w:bottom w:w="120" w:type="dxa"/>
              <w:right w:w="120" w:type="dxa"/>
            </w:tcMar>
            <w:vAlign w:val="center"/>
            <w:hideMark/>
          </w:tcPr>
          <w:p w14:paraId="33DF089F" w14:textId="77777777" w:rsidR="00AD0E40" w:rsidRPr="00AD0E40" w:rsidRDefault="00AD0E40" w:rsidP="00AD0E40">
            <w:pPr>
              <w:spacing w:line="480" w:lineRule="auto"/>
              <w:rPr>
                <w:rFonts w:ascii="Times New Roman" w:hAnsi="Times New Roman" w:cs="Times New Roman"/>
                <w:b/>
                <w:bCs/>
                <w:sz w:val="24"/>
                <w:szCs w:val="24"/>
              </w:rPr>
            </w:pPr>
            <w:r w:rsidRPr="00AD0E40">
              <w:rPr>
                <w:rFonts w:ascii="Times New Roman" w:hAnsi="Times New Roman" w:cs="Times New Roman"/>
                <w:b/>
                <w:bCs/>
                <w:sz w:val="24"/>
                <w:szCs w:val="24"/>
              </w:rPr>
              <w:t>Score (1-5)</w:t>
            </w:r>
          </w:p>
        </w:tc>
        <w:tc>
          <w:tcPr>
            <w:tcW w:w="0" w:type="auto"/>
            <w:tcBorders>
              <w:top w:val="single" w:sz="6" w:space="0" w:color="auto"/>
              <w:left w:val="single" w:sz="6" w:space="0" w:color="auto"/>
              <w:bottom w:val="single" w:sz="6" w:space="0" w:color="auto"/>
              <w:right w:val="single" w:sz="6" w:space="0" w:color="auto"/>
            </w:tcBorders>
            <w:shd w:val="clear" w:color="auto" w:fill="242424"/>
            <w:tcMar>
              <w:top w:w="120" w:type="dxa"/>
              <w:left w:w="120" w:type="dxa"/>
              <w:bottom w:w="120" w:type="dxa"/>
              <w:right w:w="120" w:type="dxa"/>
            </w:tcMar>
            <w:vAlign w:val="center"/>
            <w:hideMark/>
          </w:tcPr>
          <w:p w14:paraId="0E5A90F5" w14:textId="77777777" w:rsidR="00AD0E40" w:rsidRPr="00AD0E40" w:rsidRDefault="00AD0E40" w:rsidP="00AD0E40">
            <w:pPr>
              <w:spacing w:line="480" w:lineRule="auto"/>
              <w:rPr>
                <w:rFonts w:ascii="Times New Roman" w:hAnsi="Times New Roman" w:cs="Times New Roman"/>
                <w:b/>
                <w:bCs/>
                <w:sz w:val="24"/>
                <w:szCs w:val="24"/>
              </w:rPr>
            </w:pPr>
            <w:r w:rsidRPr="00AD0E40">
              <w:rPr>
                <w:rFonts w:ascii="Times New Roman" w:hAnsi="Times New Roman" w:cs="Times New Roman"/>
                <w:b/>
                <w:bCs/>
                <w:sz w:val="24"/>
                <w:szCs w:val="24"/>
              </w:rPr>
              <w:t>Reasoning</w:t>
            </w:r>
          </w:p>
        </w:tc>
      </w:tr>
      <w:tr w:rsidR="00AD0E40" w:rsidRPr="00AD0E40" w14:paraId="6CFD5860" w14:textId="77777777" w:rsidTr="00AD0E40">
        <w:tc>
          <w:tcPr>
            <w:tcW w:w="0" w:type="auto"/>
            <w:tcBorders>
              <w:top w:val="single" w:sz="6" w:space="0" w:color="auto"/>
              <w:left w:val="single" w:sz="6" w:space="0" w:color="auto"/>
              <w:bottom w:val="single" w:sz="6" w:space="0" w:color="auto"/>
              <w:right w:val="single" w:sz="6" w:space="0" w:color="auto"/>
            </w:tcBorders>
            <w:shd w:val="clear" w:color="auto" w:fill="242424"/>
            <w:tcMar>
              <w:top w:w="120" w:type="dxa"/>
              <w:left w:w="120" w:type="dxa"/>
              <w:bottom w:w="120" w:type="dxa"/>
              <w:right w:w="120" w:type="dxa"/>
            </w:tcMar>
            <w:vAlign w:val="center"/>
            <w:hideMark/>
          </w:tcPr>
          <w:p w14:paraId="663F0F91" w14:textId="77777777" w:rsidR="00AD0E40" w:rsidRPr="00AD0E40" w:rsidRDefault="00AD0E40" w:rsidP="00AD0E40">
            <w:pPr>
              <w:spacing w:line="480" w:lineRule="auto"/>
              <w:rPr>
                <w:rFonts w:ascii="Times New Roman" w:hAnsi="Times New Roman" w:cs="Times New Roman"/>
                <w:sz w:val="24"/>
                <w:szCs w:val="24"/>
              </w:rPr>
            </w:pPr>
            <w:r w:rsidRPr="00AD0E40">
              <w:rPr>
                <w:rFonts w:ascii="Times New Roman" w:hAnsi="Times New Roman" w:cs="Times New Roman"/>
                <w:b/>
                <w:bCs/>
                <w:sz w:val="24"/>
                <w:szCs w:val="24"/>
              </w:rPr>
              <w:t>Performance</w:t>
            </w:r>
          </w:p>
        </w:tc>
        <w:tc>
          <w:tcPr>
            <w:tcW w:w="0" w:type="auto"/>
            <w:tcBorders>
              <w:top w:val="single" w:sz="6" w:space="0" w:color="auto"/>
              <w:left w:val="single" w:sz="6" w:space="0" w:color="auto"/>
              <w:bottom w:val="single" w:sz="6" w:space="0" w:color="auto"/>
              <w:right w:val="single" w:sz="6" w:space="0" w:color="auto"/>
            </w:tcBorders>
            <w:shd w:val="clear" w:color="auto" w:fill="242424"/>
            <w:tcMar>
              <w:top w:w="120" w:type="dxa"/>
              <w:left w:w="120" w:type="dxa"/>
              <w:bottom w:w="120" w:type="dxa"/>
              <w:right w:w="120" w:type="dxa"/>
            </w:tcMar>
            <w:vAlign w:val="center"/>
            <w:hideMark/>
          </w:tcPr>
          <w:p w14:paraId="1C450B0A" w14:textId="77777777" w:rsidR="00AD0E40" w:rsidRPr="00AD0E40" w:rsidRDefault="00AD0E40" w:rsidP="00AD0E40">
            <w:pPr>
              <w:spacing w:line="480" w:lineRule="auto"/>
              <w:rPr>
                <w:rFonts w:ascii="Times New Roman" w:hAnsi="Times New Roman" w:cs="Times New Roman"/>
                <w:sz w:val="24"/>
                <w:szCs w:val="24"/>
              </w:rPr>
            </w:pPr>
            <w:r w:rsidRPr="00AD0E40">
              <w:rPr>
                <w:rFonts w:ascii="Times New Roman" w:hAnsi="Times New Roman" w:cs="Times New Roman"/>
                <w:sz w:val="24"/>
                <w:szCs w:val="24"/>
              </w:rPr>
              <w:t>4</w:t>
            </w:r>
          </w:p>
        </w:tc>
        <w:tc>
          <w:tcPr>
            <w:tcW w:w="0" w:type="auto"/>
            <w:tcBorders>
              <w:top w:val="single" w:sz="6" w:space="0" w:color="auto"/>
              <w:left w:val="single" w:sz="6" w:space="0" w:color="auto"/>
              <w:bottom w:val="single" w:sz="6" w:space="0" w:color="auto"/>
              <w:right w:val="single" w:sz="6" w:space="0" w:color="auto"/>
            </w:tcBorders>
            <w:shd w:val="clear" w:color="auto" w:fill="242424"/>
            <w:tcMar>
              <w:top w:w="120" w:type="dxa"/>
              <w:left w:w="120" w:type="dxa"/>
              <w:bottom w:w="120" w:type="dxa"/>
              <w:right w:w="120" w:type="dxa"/>
            </w:tcMar>
            <w:vAlign w:val="center"/>
            <w:hideMark/>
          </w:tcPr>
          <w:p w14:paraId="1FC53E8D" w14:textId="77777777" w:rsidR="00AD0E40" w:rsidRPr="00AD0E40" w:rsidRDefault="00AD0E40" w:rsidP="00AD0E40">
            <w:pPr>
              <w:spacing w:line="480" w:lineRule="auto"/>
              <w:rPr>
                <w:rFonts w:ascii="Times New Roman" w:hAnsi="Times New Roman" w:cs="Times New Roman"/>
                <w:sz w:val="24"/>
                <w:szCs w:val="24"/>
              </w:rPr>
            </w:pPr>
            <w:r w:rsidRPr="00AD0E40">
              <w:rPr>
                <w:rFonts w:ascii="Times New Roman" w:hAnsi="Times New Roman" w:cs="Times New Roman"/>
                <w:sz w:val="24"/>
                <w:szCs w:val="24"/>
              </w:rPr>
              <w:t>Virtualization software should provide efficient resource utilization and minimal performance overhead to ensure optimal application and workload performance. Key factors include hypervisor design, memory management, and I/O handling.</w:t>
            </w:r>
          </w:p>
        </w:tc>
      </w:tr>
      <w:tr w:rsidR="00AD0E40" w:rsidRPr="00AD0E40" w14:paraId="2355B54A" w14:textId="77777777" w:rsidTr="00AD0E40">
        <w:tc>
          <w:tcPr>
            <w:tcW w:w="0" w:type="auto"/>
            <w:tcBorders>
              <w:top w:val="single" w:sz="6" w:space="0" w:color="auto"/>
              <w:left w:val="single" w:sz="6" w:space="0" w:color="auto"/>
              <w:bottom w:val="single" w:sz="6" w:space="0" w:color="auto"/>
              <w:right w:val="single" w:sz="6" w:space="0" w:color="auto"/>
            </w:tcBorders>
            <w:shd w:val="clear" w:color="auto" w:fill="242424"/>
            <w:tcMar>
              <w:top w:w="120" w:type="dxa"/>
              <w:left w:w="120" w:type="dxa"/>
              <w:bottom w:w="120" w:type="dxa"/>
              <w:right w:w="120" w:type="dxa"/>
            </w:tcMar>
            <w:vAlign w:val="center"/>
            <w:hideMark/>
          </w:tcPr>
          <w:p w14:paraId="4E343AB5" w14:textId="77777777" w:rsidR="00AD0E40" w:rsidRPr="00AD0E40" w:rsidRDefault="00AD0E40" w:rsidP="00AD0E40">
            <w:pPr>
              <w:spacing w:line="480" w:lineRule="auto"/>
              <w:rPr>
                <w:rFonts w:ascii="Times New Roman" w:hAnsi="Times New Roman" w:cs="Times New Roman"/>
                <w:sz w:val="24"/>
                <w:szCs w:val="24"/>
              </w:rPr>
            </w:pPr>
            <w:r w:rsidRPr="00AD0E40">
              <w:rPr>
                <w:rFonts w:ascii="Times New Roman" w:hAnsi="Times New Roman" w:cs="Times New Roman"/>
                <w:b/>
                <w:bCs/>
                <w:sz w:val="24"/>
                <w:szCs w:val="24"/>
              </w:rPr>
              <w:t>Scalability</w:t>
            </w:r>
          </w:p>
        </w:tc>
        <w:tc>
          <w:tcPr>
            <w:tcW w:w="0" w:type="auto"/>
            <w:tcBorders>
              <w:top w:val="single" w:sz="6" w:space="0" w:color="auto"/>
              <w:left w:val="single" w:sz="6" w:space="0" w:color="auto"/>
              <w:bottom w:val="single" w:sz="6" w:space="0" w:color="auto"/>
              <w:right w:val="single" w:sz="6" w:space="0" w:color="auto"/>
            </w:tcBorders>
            <w:shd w:val="clear" w:color="auto" w:fill="242424"/>
            <w:tcMar>
              <w:top w:w="120" w:type="dxa"/>
              <w:left w:w="120" w:type="dxa"/>
              <w:bottom w:w="120" w:type="dxa"/>
              <w:right w:w="120" w:type="dxa"/>
            </w:tcMar>
            <w:vAlign w:val="center"/>
            <w:hideMark/>
          </w:tcPr>
          <w:p w14:paraId="44BD17E2" w14:textId="77777777" w:rsidR="00AD0E40" w:rsidRPr="00AD0E40" w:rsidRDefault="00AD0E40" w:rsidP="00AD0E40">
            <w:pPr>
              <w:spacing w:line="480" w:lineRule="auto"/>
              <w:rPr>
                <w:rFonts w:ascii="Times New Roman" w:hAnsi="Times New Roman" w:cs="Times New Roman"/>
                <w:sz w:val="24"/>
                <w:szCs w:val="24"/>
              </w:rPr>
            </w:pPr>
            <w:r w:rsidRPr="00AD0E40">
              <w:rPr>
                <w:rFonts w:ascii="Times New Roman" w:hAnsi="Times New Roman" w:cs="Times New Roman"/>
                <w:sz w:val="24"/>
                <w:szCs w:val="24"/>
              </w:rPr>
              <w:t>4</w:t>
            </w:r>
          </w:p>
        </w:tc>
        <w:tc>
          <w:tcPr>
            <w:tcW w:w="0" w:type="auto"/>
            <w:tcBorders>
              <w:top w:val="single" w:sz="6" w:space="0" w:color="auto"/>
              <w:left w:val="single" w:sz="6" w:space="0" w:color="auto"/>
              <w:bottom w:val="single" w:sz="6" w:space="0" w:color="auto"/>
              <w:right w:val="single" w:sz="6" w:space="0" w:color="auto"/>
            </w:tcBorders>
            <w:shd w:val="clear" w:color="auto" w:fill="242424"/>
            <w:tcMar>
              <w:top w:w="120" w:type="dxa"/>
              <w:left w:w="120" w:type="dxa"/>
              <w:bottom w:w="120" w:type="dxa"/>
              <w:right w:w="120" w:type="dxa"/>
            </w:tcMar>
            <w:vAlign w:val="center"/>
            <w:hideMark/>
          </w:tcPr>
          <w:p w14:paraId="254A02AF" w14:textId="77777777" w:rsidR="00AD0E40" w:rsidRPr="00AD0E40" w:rsidRDefault="00AD0E40" w:rsidP="00AD0E40">
            <w:pPr>
              <w:spacing w:line="480" w:lineRule="auto"/>
              <w:rPr>
                <w:rFonts w:ascii="Times New Roman" w:hAnsi="Times New Roman" w:cs="Times New Roman"/>
                <w:sz w:val="24"/>
                <w:szCs w:val="24"/>
              </w:rPr>
            </w:pPr>
            <w:r w:rsidRPr="00AD0E40">
              <w:rPr>
                <w:rFonts w:ascii="Times New Roman" w:hAnsi="Times New Roman" w:cs="Times New Roman"/>
                <w:sz w:val="24"/>
                <w:szCs w:val="24"/>
              </w:rPr>
              <w:t>The virtualization platform should be able to scale seamlessly, both in terms of the number of virtual machines and the underlying hardware resources (CPU, memory, storage). Ability to add new nodes, expand storage, and manage resource pools is crucial.</w:t>
            </w:r>
          </w:p>
        </w:tc>
      </w:tr>
      <w:tr w:rsidR="00AD0E40" w:rsidRPr="00AD0E40" w14:paraId="7AF7C36B" w14:textId="77777777" w:rsidTr="00AD0E40">
        <w:tc>
          <w:tcPr>
            <w:tcW w:w="0" w:type="auto"/>
            <w:tcBorders>
              <w:top w:val="single" w:sz="6" w:space="0" w:color="auto"/>
              <w:left w:val="single" w:sz="6" w:space="0" w:color="auto"/>
              <w:bottom w:val="single" w:sz="6" w:space="0" w:color="auto"/>
              <w:right w:val="single" w:sz="6" w:space="0" w:color="auto"/>
            </w:tcBorders>
            <w:shd w:val="clear" w:color="auto" w:fill="242424"/>
            <w:tcMar>
              <w:top w:w="120" w:type="dxa"/>
              <w:left w:w="120" w:type="dxa"/>
              <w:bottom w:w="120" w:type="dxa"/>
              <w:right w:w="120" w:type="dxa"/>
            </w:tcMar>
            <w:vAlign w:val="center"/>
            <w:hideMark/>
          </w:tcPr>
          <w:p w14:paraId="2A1896D3" w14:textId="77777777" w:rsidR="00AD0E40" w:rsidRPr="00AD0E40" w:rsidRDefault="00AD0E40" w:rsidP="00AD0E40">
            <w:pPr>
              <w:spacing w:line="480" w:lineRule="auto"/>
              <w:rPr>
                <w:rFonts w:ascii="Times New Roman" w:hAnsi="Times New Roman" w:cs="Times New Roman"/>
                <w:sz w:val="24"/>
                <w:szCs w:val="24"/>
              </w:rPr>
            </w:pPr>
            <w:r w:rsidRPr="00AD0E40">
              <w:rPr>
                <w:rFonts w:ascii="Times New Roman" w:hAnsi="Times New Roman" w:cs="Times New Roman"/>
                <w:b/>
                <w:bCs/>
                <w:sz w:val="24"/>
                <w:szCs w:val="24"/>
              </w:rPr>
              <w:lastRenderedPageBreak/>
              <w:t>High Availability</w:t>
            </w:r>
          </w:p>
        </w:tc>
        <w:tc>
          <w:tcPr>
            <w:tcW w:w="0" w:type="auto"/>
            <w:tcBorders>
              <w:top w:val="single" w:sz="6" w:space="0" w:color="auto"/>
              <w:left w:val="single" w:sz="6" w:space="0" w:color="auto"/>
              <w:bottom w:val="single" w:sz="6" w:space="0" w:color="auto"/>
              <w:right w:val="single" w:sz="6" w:space="0" w:color="auto"/>
            </w:tcBorders>
            <w:shd w:val="clear" w:color="auto" w:fill="242424"/>
            <w:tcMar>
              <w:top w:w="120" w:type="dxa"/>
              <w:left w:w="120" w:type="dxa"/>
              <w:bottom w:w="120" w:type="dxa"/>
              <w:right w:w="120" w:type="dxa"/>
            </w:tcMar>
            <w:vAlign w:val="center"/>
            <w:hideMark/>
          </w:tcPr>
          <w:p w14:paraId="0C5EE64F" w14:textId="77777777" w:rsidR="00AD0E40" w:rsidRPr="00AD0E40" w:rsidRDefault="00AD0E40" w:rsidP="00AD0E40">
            <w:pPr>
              <w:spacing w:line="480" w:lineRule="auto"/>
              <w:rPr>
                <w:rFonts w:ascii="Times New Roman" w:hAnsi="Times New Roman" w:cs="Times New Roman"/>
                <w:sz w:val="24"/>
                <w:szCs w:val="24"/>
              </w:rPr>
            </w:pPr>
            <w:r w:rsidRPr="00AD0E40">
              <w:rPr>
                <w:rFonts w:ascii="Times New Roman" w:hAnsi="Times New Roman" w:cs="Times New Roman"/>
                <w:sz w:val="24"/>
                <w:szCs w:val="24"/>
              </w:rPr>
              <w:t>4</w:t>
            </w:r>
          </w:p>
        </w:tc>
        <w:tc>
          <w:tcPr>
            <w:tcW w:w="0" w:type="auto"/>
            <w:tcBorders>
              <w:top w:val="single" w:sz="6" w:space="0" w:color="auto"/>
              <w:left w:val="single" w:sz="6" w:space="0" w:color="auto"/>
              <w:bottom w:val="single" w:sz="6" w:space="0" w:color="auto"/>
              <w:right w:val="single" w:sz="6" w:space="0" w:color="auto"/>
            </w:tcBorders>
            <w:shd w:val="clear" w:color="auto" w:fill="242424"/>
            <w:tcMar>
              <w:top w:w="120" w:type="dxa"/>
              <w:left w:w="120" w:type="dxa"/>
              <w:bottom w:w="120" w:type="dxa"/>
              <w:right w:w="120" w:type="dxa"/>
            </w:tcMar>
            <w:vAlign w:val="center"/>
            <w:hideMark/>
          </w:tcPr>
          <w:p w14:paraId="2FB62D62" w14:textId="77777777" w:rsidR="00AD0E40" w:rsidRPr="00AD0E40" w:rsidRDefault="00AD0E40" w:rsidP="00AD0E40">
            <w:pPr>
              <w:spacing w:line="480" w:lineRule="auto"/>
              <w:rPr>
                <w:rFonts w:ascii="Times New Roman" w:hAnsi="Times New Roman" w:cs="Times New Roman"/>
                <w:sz w:val="24"/>
                <w:szCs w:val="24"/>
              </w:rPr>
            </w:pPr>
            <w:r w:rsidRPr="00AD0E40">
              <w:rPr>
                <w:rFonts w:ascii="Times New Roman" w:hAnsi="Times New Roman" w:cs="Times New Roman"/>
                <w:sz w:val="24"/>
                <w:szCs w:val="24"/>
              </w:rPr>
              <w:t>Mission-critical workloads require high levels of uptime and resilience. Virtualization software should offer features like live migration, failover, and disaster recovery to ensure service continuity and data protection.</w:t>
            </w:r>
          </w:p>
        </w:tc>
      </w:tr>
      <w:tr w:rsidR="00AD0E40" w:rsidRPr="00AD0E40" w14:paraId="27535930" w14:textId="77777777" w:rsidTr="00AD0E40">
        <w:tc>
          <w:tcPr>
            <w:tcW w:w="0" w:type="auto"/>
            <w:tcBorders>
              <w:top w:val="single" w:sz="6" w:space="0" w:color="auto"/>
              <w:left w:val="single" w:sz="6" w:space="0" w:color="auto"/>
              <w:bottom w:val="single" w:sz="6" w:space="0" w:color="auto"/>
              <w:right w:val="single" w:sz="6" w:space="0" w:color="auto"/>
            </w:tcBorders>
            <w:shd w:val="clear" w:color="auto" w:fill="242424"/>
            <w:tcMar>
              <w:top w:w="120" w:type="dxa"/>
              <w:left w:w="120" w:type="dxa"/>
              <w:bottom w:w="120" w:type="dxa"/>
              <w:right w:w="120" w:type="dxa"/>
            </w:tcMar>
            <w:vAlign w:val="center"/>
            <w:hideMark/>
          </w:tcPr>
          <w:p w14:paraId="0E10D044" w14:textId="77777777" w:rsidR="00AD0E40" w:rsidRPr="00AD0E40" w:rsidRDefault="00AD0E40" w:rsidP="00AD0E40">
            <w:pPr>
              <w:spacing w:line="480" w:lineRule="auto"/>
              <w:rPr>
                <w:rFonts w:ascii="Times New Roman" w:hAnsi="Times New Roman" w:cs="Times New Roman"/>
                <w:sz w:val="24"/>
                <w:szCs w:val="24"/>
              </w:rPr>
            </w:pPr>
            <w:r w:rsidRPr="00AD0E40">
              <w:rPr>
                <w:rFonts w:ascii="Times New Roman" w:hAnsi="Times New Roman" w:cs="Times New Roman"/>
                <w:b/>
                <w:bCs/>
                <w:sz w:val="24"/>
                <w:szCs w:val="24"/>
              </w:rPr>
              <w:t>Security</w:t>
            </w:r>
          </w:p>
        </w:tc>
        <w:tc>
          <w:tcPr>
            <w:tcW w:w="0" w:type="auto"/>
            <w:tcBorders>
              <w:top w:val="single" w:sz="6" w:space="0" w:color="auto"/>
              <w:left w:val="single" w:sz="6" w:space="0" w:color="auto"/>
              <w:bottom w:val="single" w:sz="6" w:space="0" w:color="auto"/>
              <w:right w:val="single" w:sz="6" w:space="0" w:color="auto"/>
            </w:tcBorders>
            <w:shd w:val="clear" w:color="auto" w:fill="242424"/>
            <w:tcMar>
              <w:top w:w="120" w:type="dxa"/>
              <w:left w:w="120" w:type="dxa"/>
              <w:bottom w:w="120" w:type="dxa"/>
              <w:right w:w="120" w:type="dxa"/>
            </w:tcMar>
            <w:vAlign w:val="center"/>
            <w:hideMark/>
          </w:tcPr>
          <w:p w14:paraId="361285DD" w14:textId="77777777" w:rsidR="00AD0E40" w:rsidRPr="00AD0E40" w:rsidRDefault="00AD0E40" w:rsidP="00AD0E40">
            <w:pPr>
              <w:spacing w:line="480" w:lineRule="auto"/>
              <w:rPr>
                <w:rFonts w:ascii="Times New Roman" w:hAnsi="Times New Roman" w:cs="Times New Roman"/>
                <w:sz w:val="24"/>
                <w:szCs w:val="24"/>
              </w:rPr>
            </w:pPr>
            <w:r w:rsidRPr="00AD0E40">
              <w:rPr>
                <w:rFonts w:ascii="Times New Roman" w:hAnsi="Times New Roman" w:cs="Times New Roman"/>
                <w:sz w:val="24"/>
                <w:szCs w:val="24"/>
              </w:rPr>
              <w:t>4</w:t>
            </w:r>
          </w:p>
        </w:tc>
        <w:tc>
          <w:tcPr>
            <w:tcW w:w="0" w:type="auto"/>
            <w:tcBorders>
              <w:top w:val="single" w:sz="6" w:space="0" w:color="auto"/>
              <w:left w:val="single" w:sz="6" w:space="0" w:color="auto"/>
              <w:bottom w:val="single" w:sz="6" w:space="0" w:color="auto"/>
              <w:right w:val="single" w:sz="6" w:space="0" w:color="auto"/>
            </w:tcBorders>
            <w:shd w:val="clear" w:color="auto" w:fill="242424"/>
            <w:tcMar>
              <w:top w:w="120" w:type="dxa"/>
              <w:left w:w="120" w:type="dxa"/>
              <w:bottom w:w="120" w:type="dxa"/>
              <w:right w:w="120" w:type="dxa"/>
            </w:tcMar>
            <w:vAlign w:val="center"/>
            <w:hideMark/>
          </w:tcPr>
          <w:p w14:paraId="7FA63BDC" w14:textId="77777777" w:rsidR="00AD0E40" w:rsidRPr="00AD0E40" w:rsidRDefault="00AD0E40" w:rsidP="00AD0E40">
            <w:pPr>
              <w:spacing w:line="480" w:lineRule="auto"/>
              <w:rPr>
                <w:rFonts w:ascii="Times New Roman" w:hAnsi="Times New Roman" w:cs="Times New Roman"/>
                <w:sz w:val="24"/>
                <w:szCs w:val="24"/>
              </w:rPr>
            </w:pPr>
            <w:r w:rsidRPr="00AD0E40">
              <w:rPr>
                <w:rFonts w:ascii="Times New Roman" w:hAnsi="Times New Roman" w:cs="Times New Roman"/>
                <w:sz w:val="24"/>
                <w:szCs w:val="24"/>
              </w:rPr>
              <w:t>Virtualization introduces additional attack surfaces, so the software should have robust security mechanisms, such as role-based access controls, secure boot, and secure networking capabilities to protect the virtual environment.</w:t>
            </w:r>
          </w:p>
        </w:tc>
      </w:tr>
      <w:tr w:rsidR="00AD0E40" w:rsidRPr="00AD0E40" w14:paraId="70593564" w14:textId="77777777" w:rsidTr="00AD0E40">
        <w:tc>
          <w:tcPr>
            <w:tcW w:w="0" w:type="auto"/>
            <w:tcBorders>
              <w:top w:val="single" w:sz="6" w:space="0" w:color="auto"/>
              <w:left w:val="single" w:sz="6" w:space="0" w:color="auto"/>
              <w:bottom w:val="single" w:sz="6" w:space="0" w:color="auto"/>
              <w:right w:val="single" w:sz="6" w:space="0" w:color="auto"/>
            </w:tcBorders>
            <w:shd w:val="clear" w:color="auto" w:fill="242424"/>
            <w:tcMar>
              <w:top w:w="120" w:type="dxa"/>
              <w:left w:w="120" w:type="dxa"/>
              <w:bottom w:w="120" w:type="dxa"/>
              <w:right w:w="120" w:type="dxa"/>
            </w:tcMar>
            <w:vAlign w:val="center"/>
            <w:hideMark/>
          </w:tcPr>
          <w:p w14:paraId="4391606D" w14:textId="77777777" w:rsidR="00AD0E40" w:rsidRPr="00AD0E40" w:rsidRDefault="00AD0E40" w:rsidP="00AD0E40">
            <w:pPr>
              <w:spacing w:line="480" w:lineRule="auto"/>
              <w:rPr>
                <w:rFonts w:ascii="Times New Roman" w:hAnsi="Times New Roman" w:cs="Times New Roman"/>
                <w:sz w:val="24"/>
                <w:szCs w:val="24"/>
              </w:rPr>
            </w:pPr>
            <w:r w:rsidRPr="00AD0E40">
              <w:rPr>
                <w:rFonts w:ascii="Times New Roman" w:hAnsi="Times New Roman" w:cs="Times New Roman"/>
                <w:b/>
                <w:bCs/>
                <w:sz w:val="24"/>
                <w:szCs w:val="24"/>
              </w:rPr>
              <w:t>Manageability</w:t>
            </w:r>
          </w:p>
        </w:tc>
        <w:tc>
          <w:tcPr>
            <w:tcW w:w="0" w:type="auto"/>
            <w:tcBorders>
              <w:top w:val="single" w:sz="6" w:space="0" w:color="auto"/>
              <w:left w:val="single" w:sz="6" w:space="0" w:color="auto"/>
              <w:bottom w:val="single" w:sz="6" w:space="0" w:color="auto"/>
              <w:right w:val="single" w:sz="6" w:space="0" w:color="auto"/>
            </w:tcBorders>
            <w:shd w:val="clear" w:color="auto" w:fill="242424"/>
            <w:tcMar>
              <w:top w:w="120" w:type="dxa"/>
              <w:left w:w="120" w:type="dxa"/>
              <w:bottom w:w="120" w:type="dxa"/>
              <w:right w:w="120" w:type="dxa"/>
            </w:tcMar>
            <w:vAlign w:val="center"/>
            <w:hideMark/>
          </w:tcPr>
          <w:p w14:paraId="3B2D1535" w14:textId="77777777" w:rsidR="00AD0E40" w:rsidRPr="00AD0E40" w:rsidRDefault="00AD0E40" w:rsidP="00AD0E40">
            <w:pPr>
              <w:spacing w:line="480" w:lineRule="auto"/>
              <w:rPr>
                <w:rFonts w:ascii="Times New Roman" w:hAnsi="Times New Roman" w:cs="Times New Roman"/>
                <w:sz w:val="24"/>
                <w:szCs w:val="24"/>
              </w:rPr>
            </w:pPr>
            <w:r w:rsidRPr="00AD0E40">
              <w:rPr>
                <w:rFonts w:ascii="Times New Roman" w:hAnsi="Times New Roman" w:cs="Times New Roman"/>
                <w:sz w:val="24"/>
                <w:szCs w:val="24"/>
              </w:rPr>
              <w:t>4</w:t>
            </w:r>
          </w:p>
        </w:tc>
        <w:tc>
          <w:tcPr>
            <w:tcW w:w="0" w:type="auto"/>
            <w:tcBorders>
              <w:top w:val="single" w:sz="6" w:space="0" w:color="auto"/>
              <w:left w:val="single" w:sz="6" w:space="0" w:color="auto"/>
              <w:bottom w:val="single" w:sz="6" w:space="0" w:color="auto"/>
              <w:right w:val="single" w:sz="6" w:space="0" w:color="auto"/>
            </w:tcBorders>
            <w:shd w:val="clear" w:color="auto" w:fill="242424"/>
            <w:tcMar>
              <w:top w:w="120" w:type="dxa"/>
              <w:left w:w="120" w:type="dxa"/>
              <w:bottom w:w="120" w:type="dxa"/>
              <w:right w:w="120" w:type="dxa"/>
            </w:tcMar>
            <w:vAlign w:val="center"/>
            <w:hideMark/>
          </w:tcPr>
          <w:p w14:paraId="4B936367" w14:textId="77777777" w:rsidR="00AD0E40" w:rsidRPr="00AD0E40" w:rsidRDefault="00AD0E40" w:rsidP="00AD0E40">
            <w:pPr>
              <w:spacing w:line="480" w:lineRule="auto"/>
              <w:rPr>
                <w:rFonts w:ascii="Times New Roman" w:hAnsi="Times New Roman" w:cs="Times New Roman"/>
                <w:sz w:val="24"/>
                <w:szCs w:val="24"/>
              </w:rPr>
            </w:pPr>
            <w:r w:rsidRPr="00AD0E40">
              <w:rPr>
                <w:rFonts w:ascii="Times New Roman" w:hAnsi="Times New Roman" w:cs="Times New Roman"/>
                <w:sz w:val="24"/>
                <w:szCs w:val="24"/>
              </w:rPr>
              <w:t>A centralized, user-friendly management interface is essential for efficient administration of the virtualized infrastructure. Features like automated provisioning, monitoring, and policy-based management should be considered.</w:t>
            </w:r>
          </w:p>
        </w:tc>
      </w:tr>
      <w:tr w:rsidR="00AD0E40" w:rsidRPr="00AD0E40" w14:paraId="4878BFF7" w14:textId="77777777" w:rsidTr="00AD0E40">
        <w:tc>
          <w:tcPr>
            <w:tcW w:w="0" w:type="auto"/>
            <w:tcBorders>
              <w:top w:val="single" w:sz="6" w:space="0" w:color="auto"/>
              <w:left w:val="single" w:sz="6" w:space="0" w:color="auto"/>
              <w:bottom w:val="single" w:sz="6" w:space="0" w:color="auto"/>
              <w:right w:val="single" w:sz="6" w:space="0" w:color="auto"/>
            </w:tcBorders>
            <w:shd w:val="clear" w:color="auto" w:fill="242424"/>
            <w:tcMar>
              <w:top w:w="120" w:type="dxa"/>
              <w:left w:w="120" w:type="dxa"/>
              <w:bottom w:w="120" w:type="dxa"/>
              <w:right w:w="120" w:type="dxa"/>
            </w:tcMar>
            <w:vAlign w:val="center"/>
            <w:hideMark/>
          </w:tcPr>
          <w:p w14:paraId="29622867" w14:textId="77777777" w:rsidR="00AD0E40" w:rsidRPr="00AD0E40" w:rsidRDefault="00AD0E40" w:rsidP="00AD0E40">
            <w:pPr>
              <w:spacing w:line="480" w:lineRule="auto"/>
              <w:rPr>
                <w:rFonts w:ascii="Times New Roman" w:hAnsi="Times New Roman" w:cs="Times New Roman"/>
                <w:sz w:val="24"/>
                <w:szCs w:val="24"/>
              </w:rPr>
            </w:pPr>
            <w:r w:rsidRPr="00AD0E40">
              <w:rPr>
                <w:rFonts w:ascii="Times New Roman" w:hAnsi="Times New Roman" w:cs="Times New Roman"/>
                <w:b/>
                <w:bCs/>
                <w:sz w:val="24"/>
                <w:szCs w:val="24"/>
              </w:rPr>
              <w:t>Cost</w:t>
            </w:r>
          </w:p>
        </w:tc>
        <w:tc>
          <w:tcPr>
            <w:tcW w:w="0" w:type="auto"/>
            <w:tcBorders>
              <w:top w:val="single" w:sz="6" w:space="0" w:color="auto"/>
              <w:left w:val="single" w:sz="6" w:space="0" w:color="auto"/>
              <w:bottom w:val="single" w:sz="6" w:space="0" w:color="auto"/>
              <w:right w:val="single" w:sz="6" w:space="0" w:color="auto"/>
            </w:tcBorders>
            <w:shd w:val="clear" w:color="auto" w:fill="242424"/>
            <w:tcMar>
              <w:top w:w="120" w:type="dxa"/>
              <w:left w:w="120" w:type="dxa"/>
              <w:bottom w:w="120" w:type="dxa"/>
              <w:right w:w="120" w:type="dxa"/>
            </w:tcMar>
            <w:vAlign w:val="center"/>
            <w:hideMark/>
          </w:tcPr>
          <w:p w14:paraId="35B4C0A0" w14:textId="77777777" w:rsidR="00AD0E40" w:rsidRPr="00AD0E40" w:rsidRDefault="00AD0E40" w:rsidP="00AD0E40">
            <w:pPr>
              <w:spacing w:line="480" w:lineRule="auto"/>
              <w:rPr>
                <w:rFonts w:ascii="Times New Roman" w:hAnsi="Times New Roman" w:cs="Times New Roman"/>
                <w:sz w:val="24"/>
                <w:szCs w:val="24"/>
              </w:rPr>
            </w:pPr>
            <w:r w:rsidRPr="00AD0E40">
              <w:rPr>
                <w:rFonts w:ascii="Times New Roman" w:hAnsi="Times New Roman" w:cs="Times New Roman"/>
                <w:sz w:val="24"/>
                <w:szCs w:val="24"/>
              </w:rPr>
              <w:t>3</w:t>
            </w:r>
          </w:p>
        </w:tc>
        <w:tc>
          <w:tcPr>
            <w:tcW w:w="0" w:type="auto"/>
            <w:tcBorders>
              <w:top w:val="single" w:sz="6" w:space="0" w:color="auto"/>
              <w:left w:val="single" w:sz="6" w:space="0" w:color="auto"/>
              <w:bottom w:val="single" w:sz="6" w:space="0" w:color="auto"/>
              <w:right w:val="single" w:sz="6" w:space="0" w:color="auto"/>
            </w:tcBorders>
            <w:shd w:val="clear" w:color="auto" w:fill="242424"/>
            <w:tcMar>
              <w:top w:w="120" w:type="dxa"/>
              <w:left w:w="120" w:type="dxa"/>
              <w:bottom w:w="120" w:type="dxa"/>
              <w:right w:w="120" w:type="dxa"/>
            </w:tcMar>
            <w:vAlign w:val="center"/>
            <w:hideMark/>
          </w:tcPr>
          <w:p w14:paraId="724E7F5B" w14:textId="77777777" w:rsidR="00AD0E40" w:rsidRPr="00AD0E40" w:rsidRDefault="00AD0E40" w:rsidP="00AD0E40">
            <w:pPr>
              <w:spacing w:line="480" w:lineRule="auto"/>
              <w:rPr>
                <w:rFonts w:ascii="Times New Roman" w:hAnsi="Times New Roman" w:cs="Times New Roman"/>
                <w:sz w:val="24"/>
                <w:szCs w:val="24"/>
              </w:rPr>
            </w:pPr>
            <w:r w:rsidRPr="00AD0E40">
              <w:rPr>
                <w:rFonts w:ascii="Times New Roman" w:hAnsi="Times New Roman" w:cs="Times New Roman"/>
                <w:sz w:val="24"/>
                <w:szCs w:val="24"/>
              </w:rPr>
              <w:t>The total cost of ownership (TCO) for the virtualization software, including license fees, maintenance, and operational expenses, should be evaluated and balanced against the software's capabilities and benefits. Open-source or free options may be more cost-effective for smaller organizations.</w:t>
            </w:r>
          </w:p>
        </w:tc>
      </w:tr>
      <w:tr w:rsidR="00AD0E40" w:rsidRPr="00AD0E40" w14:paraId="6B18C5AD" w14:textId="77777777" w:rsidTr="00AD0E40">
        <w:tc>
          <w:tcPr>
            <w:tcW w:w="0" w:type="auto"/>
            <w:tcBorders>
              <w:top w:val="single" w:sz="6" w:space="0" w:color="auto"/>
              <w:left w:val="single" w:sz="6" w:space="0" w:color="auto"/>
              <w:bottom w:val="single" w:sz="6" w:space="0" w:color="auto"/>
              <w:right w:val="single" w:sz="6" w:space="0" w:color="auto"/>
            </w:tcBorders>
            <w:shd w:val="clear" w:color="auto" w:fill="242424"/>
            <w:tcMar>
              <w:top w:w="120" w:type="dxa"/>
              <w:left w:w="120" w:type="dxa"/>
              <w:bottom w:w="120" w:type="dxa"/>
              <w:right w:w="120" w:type="dxa"/>
            </w:tcMar>
            <w:vAlign w:val="center"/>
            <w:hideMark/>
          </w:tcPr>
          <w:p w14:paraId="5B6954F3" w14:textId="77777777" w:rsidR="00AD0E40" w:rsidRPr="00AD0E40" w:rsidRDefault="00AD0E40" w:rsidP="00AD0E40">
            <w:pPr>
              <w:spacing w:line="480" w:lineRule="auto"/>
              <w:rPr>
                <w:rFonts w:ascii="Times New Roman" w:hAnsi="Times New Roman" w:cs="Times New Roman"/>
                <w:sz w:val="24"/>
                <w:szCs w:val="24"/>
              </w:rPr>
            </w:pPr>
            <w:r w:rsidRPr="00AD0E40">
              <w:rPr>
                <w:rFonts w:ascii="Times New Roman" w:hAnsi="Times New Roman" w:cs="Times New Roman"/>
                <w:b/>
                <w:bCs/>
                <w:sz w:val="24"/>
                <w:szCs w:val="24"/>
              </w:rPr>
              <w:lastRenderedPageBreak/>
              <w:t>Ecosystem and Integrations</w:t>
            </w:r>
          </w:p>
        </w:tc>
        <w:tc>
          <w:tcPr>
            <w:tcW w:w="0" w:type="auto"/>
            <w:tcBorders>
              <w:top w:val="single" w:sz="6" w:space="0" w:color="auto"/>
              <w:left w:val="single" w:sz="6" w:space="0" w:color="auto"/>
              <w:bottom w:val="single" w:sz="6" w:space="0" w:color="auto"/>
              <w:right w:val="single" w:sz="6" w:space="0" w:color="auto"/>
            </w:tcBorders>
            <w:shd w:val="clear" w:color="auto" w:fill="242424"/>
            <w:tcMar>
              <w:top w:w="120" w:type="dxa"/>
              <w:left w:w="120" w:type="dxa"/>
              <w:bottom w:w="120" w:type="dxa"/>
              <w:right w:w="120" w:type="dxa"/>
            </w:tcMar>
            <w:vAlign w:val="center"/>
            <w:hideMark/>
          </w:tcPr>
          <w:p w14:paraId="72ECCF88" w14:textId="77777777" w:rsidR="00AD0E40" w:rsidRPr="00AD0E40" w:rsidRDefault="00AD0E40" w:rsidP="00AD0E40">
            <w:pPr>
              <w:spacing w:line="480" w:lineRule="auto"/>
              <w:rPr>
                <w:rFonts w:ascii="Times New Roman" w:hAnsi="Times New Roman" w:cs="Times New Roman"/>
                <w:sz w:val="24"/>
                <w:szCs w:val="24"/>
              </w:rPr>
            </w:pPr>
            <w:r w:rsidRPr="00AD0E40">
              <w:rPr>
                <w:rFonts w:ascii="Times New Roman" w:hAnsi="Times New Roman" w:cs="Times New Roman"/>
                <w:sz w:val="24"/>
                <w:szCs w:val="24"/>
              </w:rPr>
              <w:t>4</w:t>
            </w:r>
          </w:p>
        </w:tc>
        <w:tc>
          <w:tcPr>
            <w:tcW w:w="0" w:type="auto"/>
            <w:tcBorders>
              <w:top w:val="single" w:sz="6" w:space="0" w:color="auto"/>
              <w:left w:val="single" w:sz="6" w:space="0" w:color="auto"/>
              <w:bottom w:val="single" w:sz="6" w:space="0" w:color="auto"/>
              <w:right w:val="single" w:sz="6" w:space="0" w:color="auto"/>
            </w:tcBorders>
            <w:shd w:val="clear" w:color="auto" w:fill="242424"/>
            <w:tcMar>
              <w:top w:w="120" w:type="dxa"/>
              <w:left w:w="120" w:type="dxa"/>
              <w:bottom w:w="120" w:type="dxa"/>
              <w:right w:w="120" w:type="dxa"/>
            </w:tcMar>
            <w:vAlign w:val="center"/>
            <w:hideMark/>
          </w:tcPr>
          <w:p w14:paraId="01E28BC5" w14:textId="77777777" w:rsidR="00AD0E40" w:rsidRPr="00AD0E40" w:rsidRDefault="00AD0E40" w:rsidP="00AD0E40">
            <w:pPr>
              <w:spacing w:line="480" w:lineRule="auto"/>
              <w:rPr>
                <w:rFonts w:ascii="Times New Roman" w:hAnsi="Times New Roman" w:cs="Times New Roman"/>
                <w:sz w:val="24"/>
                <w:szCs w:val="24"/>
              </w:rPr>
            </w:pPr>
            <w:r w:rsidRPr="00AD0E40">
              <w:rPr>
                <w:rFonts w:ascii="Times New Roman" w:hAnsi="Times New Roman" w:cs="Times New Roman"/>
                <w:sz w:val="24"/>
                <w:szCs w:val="24"/>
              </w:rPr>
              <w:t>Virtualization software with a strong ecosystem of partners, plugins, and third-party integrations can provide more flexibility, specialized functionality, and a broader range of solutions to address diverse IT requirements.</w:t>
            </w:r>
          </w:p>
        </w:tc>
      </w:tr>
      <w:tr w:rsidR="00AD0E40" w:rsidRPr="00AD0E40" w14:paraId="737F8028" w14:textId="77777777" w:rsidTr="00AD0E40">
        <w:tc>
          <w:tcPr>
            <w:tcW w:w="0" w:type="auto"/>
            <w:tcBorders>
              <w:top w:val="single" w:sz="6" w:space="0" w:color="auto"/>
              <w:left w:val="single" w:sz="6" w:space="0" w:color="auto"/>
              <w:bottom w:val="single" w:sz="6" w:space="0" w:color="auto"/>
              <w:right w:val="single" w:sz="6" w:space="0" w:color="auto"/>
            </w:tcBorders>
            <w:shd w:val="clear" w:color="auto" w:fill="242424"/>
            <w:tcMar>
              <w:top w:w="120" w:type="dxa"/>
              <w:left w:w="120" w:type="dxa"/>
              <w:bottom w:w="120" w:type="dxa"/>
              <w:right w:w="120" w:type="dxa"/>
            </w:tcMar>
            <w:vAlign w:val="center"/>
            <w:hideMark/>
          </w:tcPr>
          <w:p w14:paraId="30647822" w14:textId="77777777" w:rsidR="00AD0E40" w:rsidRPr="00AD0E40" w:rsidRDefault="00AD0E40" w:rsidP="00AD0E40">
            <w:pPr>
              <w:spacing w:line="480" w:lineRule="auto"/>
              <w:rPr>
                <w:rFonts w:ascii="Times New Roman" w:hAnsi="Times New Roman" w:cs="Times New Roman"/>
                <w:sz w:val="24"/>
                <w:szCs w:val="24"/>
              </w:rPr>
            </w:pPr>
            <w:r w:rsidRPr="00AD0E40">
              <w:rPr>
                <w:rFonts w:ascii="Times New Roman" w:hAnsi="Times New Roman" w:cs="Times New Roman"/>
                <w:b/>
                <w:bCs/>
                <w:sz w:val="24"/>
                <w:szCs w:val="24"/>
              </w:rPr>
              <w:t>Technical Support</w:t>
            </w:r>
          </w:p>
        </w:tc>
        <w:tc>
          <w:tcPr>
            <w:tcW w:w="0" w:type="auto"/>
            <w:tcBorders>
              <w:top w:val="single" w:sz="6" w:space="0" w:color="auto"/>
              <w:left w:val="single" w:sz="6" w:space="0" w:color="auto"/>
              <w:bottom w:val="single" w:sz="6" w:space="0" w:color="auto"/>
              <w:right w:val="single" w:sz="6" w:space="0" w:color="auto"/>
            </w:tcBorders>
            <w:shd w:val="clear" w:color="auto" w:fill="242424"/>
            <w:tcMar>
              <w:top w:w="120" w:type="dxa"/>
              <w:left w:w="120" w:type="dxa"/>
              <w:bottom w:w="120" w:type="dxa"/>
              <w:right w:w="120" w:type="dxa"/>
            </w:tcMar>
            <w:vAlign w:val="center"/>
            <w:hideMark/>
          </w:tcPr>
          <w:p w14:paraId="19618BB1" w14:textId="77777777" w:rsidR="00AD0E40" w:rsidRPr="00AD0E40" w:rsidRDefault="00AD0E40" w:rsidP="00AD0E40">
            <w:pPr>
              <w:spacing w:line="480" w:lineRule="auto"/>
              <w:rPr>
                <w:rFonts w:ascii="Times New Roman" w:hAnsi="Times New Roman" w:cs="Times New Roman"/>
                <w:sz w:val="24"/>
                <w:szCs w:val="24"/>
              </w:rPr>
            </w:pPr>
            <w:r w:rsidRPr="00AD0E40">
              <w:rPr>
                <w:rFonts w:ascii="Times New Roman" w:hAnsi="Times New Roman" w:cs="Times New Roman"/>
                <w:sz w:val="24"/>
                <w:szCs w:val="24"/>
              </w:rPr>
              <w:t>4</w:t>
            </w:r>
          </w:p>
        </w:tc>
        <w:tc>
          <w:tcPr>
            <w:tcW w:w="0" w:type="auto"/>
            <w:tcBorders>
              <w:top w:val="single" w:sz="6" w:space="0" w:color="auto"/>
              <w:left w:val="single" w:sz="6" w:space="0" w:color="auto"/>
              <w:bottom w:val="single" w:sz="6" w:space="0" w:color="auto"/>
              <w:right w:val="single" w:sz="6" w:space="0" w:color="auto"/>
            </w:tcBorders>
            <w:shd w:val="clear" w:color="auto" w:fill="242424"/>
            <w:tcMar>
              <w:top w:w="120" w:type="dxa"/>
              <w:left w:w="120" w:type="dxa"/>
              <w:bottom w:w="120" w:type="dxa"/>
              <w:right w:w="120" w:type="dxa"/>
            </w:tcMar>
            <w:vAlign w:val="center"/>
            <w:hideMark/>
          </w:tcPr>
          <w:p w14:paraId="4E38C8E3" w14:textId="77777777" w:rsidR="00AD0E40" w:rsidRPr="00AD0E40" w:rsidRDefault="00AD0E40" w:rsidP="00AD0E40">
            <w:pPr>
              <w:spacing w:line="480" w:lineRule="auto"/>
              <w:rPr>
                <w:rFonts w:ascii="Times New Roman" w:hAnsi="Times New Roman" w:cs="Times New Roman"/>
                <w:sz w:val="24"/>
                <w:szCs w:val="24"/>
              </w:rPr>
            </w:pPr>
            <w:r w:rsidRPr="00AD0E40">
              <w:rPr>
                <w:rFonts w:ascii="Times New Roman" w:hAnsi="Times New Roman" w:cs="Times New Roman"/>
                <w:sz w:val="24"/>
                <w:szCs w:val="24"/>
              </w:rPr>
              <w:t>Reliable and responsive technical support, including documentation, knowledge base, and access to vendor expertise, is crucial for ensuring the smooth operation and troubleshooting of the virtualized environment.</w:t>
            </w:r>
          </w:p>
        </w:tc>
      </w:tr>
    </w:tbl>
    <w:p w14:paraId="7D647A9C" w14:textId="77777777" w:rsidR="00AD0E40" w:rsidRPr="00AD0E40" w:rsidRDefault="00AD0E40" w:rsidP="00AD0E40">
      <w:pPr>
        <w:spacing w:line="480" w:lineRule="auto"/>
        <w:rPr>
          <w:rFonts w:ascii="Times New Roman" w:hAnsi="Times New Roman" w:cs="Times New Roman"/>
          <w:sz w:val="24"/>
          <w:szCs w:val="24"/>
        </w:rPr>
      </w:pPr>
      <w:r w:rsidRPr="00AD0E40">
        <w:rPr>
          <w:rFonts w:ascii="Times New Roman" w:hAnsi="Times New Roman" w:cs="Times New Roman"/>
          <w:sz w:val="24"/>
          <w:szCs w:val="24"/>
        </w:rPr>
        <w:t>This table assesses various categories relevant to virtualization software selection, with each category scored on a scale of 1 to 5 (5 being the highest). The reasoning column provides a brief explanation for the scores, helping to guide the decision-making process when evaluating and comparing different virtualization solutions.</w:t>
      </w:r>
    </w:p>
    <w:p w14:paraId="1C6CC63B" w14:textId="55532114" w:rsidR="00DF008B" w:rsidRPr="00766C8E" w:rsidRDefault="00DF008B" w:rsidP="00766C8E">
      <w:pPr>
        <w:spacing w:line="480" w:lineRule="auto"/>
        <w:rPr>
          <w:rFonts w:ascii="Times New Roman" w:hAnsi="Times New Roman" w:cs="Times New Roman"/>
          <w:sz w:val="24"/>
          <w:szCs w:val="24"/>
        </w:rPr>
      </w:pPr>
      <w:r w:rsidRPr="00766C8E">
        <w:rPr>
          <w:rFonts w:ascii="Times New Roman" w:hAnsi="Times New Roman" w:cs="Times New Roman"/>
          <w:sz w:val="24"/>
          <w:szCs w:val="24"/>
        </w:rPr>
        <w:br w:type="page"/>
      </w:r>
    </w:p>
    <w:p w14:paraId="6DDD2FC8" w14:textId="3E4F3AD4" w:rsidR="00DF008B" w:rsidRPr="00766C8E" w:rsidRDefault="00DF008B" w:rsidP="00766C8E">
      <w:pPr>
        <w:spacing w:after="0" w:line="480" w:lineRule="auto"/>
        <w:rPr>
          <w:rFonts w:ascii="Times New Roman" w:hAnsi="Times New Roman" w:cs="Times New Roman"/>
          <w:sz w:val="24"/>
          <w:szCs w:val="24"/>
        </w:rPr>
      </w:pPr>
    </w:p>
    <w:bookmarkEnd w:id="0"/>
    <w:p w14:paraId="37E1A5DB" w14:textId="77777777" w:rsidR="00766C8E" w:rsidRPr="00766C8E" w:rsidRDefault="00766C8E" w:rsidP="00766C8E">
      <w:pPr>
        <w:spacing w:line="480" w:lineRule="auto"/>
        <w:rPr>
          <w:rFonts w:ascii="Times New Roman" w:hAnsi="Times New Roman" w:cs="Times New Roman"/>
          <w:sz w:val="24"/>
          <w:szCs w:val="24"/>
        </w:rPr>
      </w:pPr>
      <w:r w:rsidRPr="00766C8E">
        <w:rPr>
          <w:rFonts w:ascii="Times New Roman" w:hAnsi="Times New Roman" w:cs="Times New Roman"/>
          <w:sz w:val="24"/>
          <w:szCs w:val="24"/>
        </w:rPr>
        <w:t>Analysis of Top Choice</w:t>
      </w:r>
    </w:p>
    <w:p w14:paraId="66A49BDF" w14:textId="77777777" w:rsidR="00766C8E" w:rsidRPr="00766C8E" w:rsidRDefault="00766C8E" w:rsidP="00766C8E">
      <w:pPr>
        <w:spacing w:line="480" w:lineRule="auto"/>
        <w:rPr>
          <w:rFonts w:ascii="Times New Roman" w:hAnsi="Times New Roman" w:cs="Times New Roman"/>
          <w:sz w:val="24"/>
          <w:szCs w:val="24"/>
        </w:rPr>
      </w:pPr>
      <w:r w:rsidRPr="00766C8E">
        <w:rPr>
          <w:rFonts w:ascii="Times New Roman" w:hAnsi="Times New Roman" w:cs="Times New Roman"/>
          <w:sz w:val="24"/>
          <w:szCs w:val="24"/>
        </w:rPr>
        <w:t xml:space="preserve">My top choice for the virtualization solution would be the Dell EMC </w:t>
      </w:r>
      <w:proofErr w:type="spellStart"/>
      <w:r w:rsidRPr="00766C8E">
        <w:rPr>
          <w:rFonts w:ascii="Times New Roman" w:hAnsi="Times New Roman" w:cs="Times New Roman"/>
          <w:sz w:val="24"/>
          <w:szCs w:val="24"/>
        </w:rPr>
        <w:t>VxRail</w:t>
      </w:r>
      <w:proofErr w:type="spellEnd"/>
      <w:r w:rsidRPr="00766C8E">
        <w:rPr>
          <w:rFonts w:ascii="Times New Roman" w:hAnsi="Times New Roman" w:cs="Times New Roman"/>
          <w:sz w:val="24"/>
          <w:szCs w:val="24"/>
        </w:rPr>
        <w:t>. This product stands out with its impressive overall rating and strong performance across multiple key categories.</w:t>
      </w:r>
    </w:p>
    <w:p w14:paraId="53FCA7A2" w14:textId="77777777" w:rsidR="00766C8E" w:rsidRPr="00766C8E" w:rsidRDefault="00766C8E" w:rsidP="00766C8E">
      <w:pPr>
        <w:spacing w:line="480" w:lineRule="auto"/>
        <w:rPr>
          <w:rFonts w:ascii="Times New Roman" w:hAnsi="Times New Roman" w:cs="Times New Roman"/>
          <w:sz w:val="24"/>
          <w:szCs w:val="24"/>
        </w:rPr>
      </w:pPr>
      <w:r w:rsidRPr="00766C8E">
        <w:rPr>
          <w:rFonts w:ascii="Times New Roman" w:hAnsi="Times New Roman" w:cs="Times New Roman"/>
          <w:sz w:val="24"/>
          <w:szCs w:val="24"/>
        </w:rPr>
        <w:t xml:space="preserve">One of the key advantages of </w:t>
      </w:r>
      <w:proofErr w:type="gramStart"/>
      <w:r w:rsidRPr="00766C8E">
        <w:rPr>
          <w:rFonts w:ascii="Times New Roman" w:hAnsi="Times New Roman" w:cs="Times New Roman"/>
          <w:sz w:val="24"/>
          <w:szCs w:val="24"/>
        </w:rPr>
        <w:t xml:space="preserve">the </w:t>
      </w:r>
      <w:proofErr w:type="spellStart"/>
      <w:r w:rsidRPr="00766C8E">
        <w:rPr>
          <w:rFonts w:ascii="Times New Roman" w:hAnsi="Times New Roman" w:cs="Times New Roman"/>
          <w:sz w:val="24"/>
          <w:szCs w:val="24"/>
        </w:rPr>
        <w:t>VxRail</w:t>
      </w:r>
      <w:proofErr w:type="spellEnd"/>
      <w:proofErr w:type="gramEnd"/>
      <w:r w:rsidRPr="00766C8E">
        <w:rPr>
          <w:rFonts w:ascii="Times New Roman" w:hAnsi="Times New Roman" w:cs="Times New Roman"/>
          <w:sz w:val="24"/>
          <w:szCs w:val="24"/>
        </w:rPr>
        <w:t xml:space="preserve"> is its superior disaster recovery capabilities. It can tolerate an entire site failure without any data loss or downtime, making it extremely resilient. This is a critical feature for ensuring business continuity in the event of unexpected disruptions.</w:t>
      </w:r>
    </w:p>
    <w:p w14:paraId="1EB7C1BA" w14:textId="77777777" w:rsidR="00766C8E" w:rsidRPr="00766C8E" w:rsidRDefault="00766C8E" w:rsidP="00766C8E">
      <w:pPr>
        <w:spacing w:line="480" w:lineRule="auto"/>
        <w:rPr>
          <w:rFonts w:ascii="Times New Roman" w:hAnsi="Times New Roman" w:cs="Times New Roman"/>
          <w:sz w:val="24"/>
          <w:szCs w:val="24"/>
        </w:rPr>
      </w:pPr>
      <w:r w:rsidRPr="00766C8E">
        <w:rPr>
          <w:rFonts w:ascii="Times New Roman" w:hAnsi="Times New Roman" w:cs="Times New Roman"/>
          <w:sz w:val="24"/>
          <w:szCs w:val="24"/>
        </w:rPr>
        <w:t xml:space="preserve">Additionally, </w:t>
      </w:r>
      <w:proofErr w:type="gramStart"/>
      <w:r w:rsidRPr="00766C8E">
        <w:rPr>
          <w:rFonts w:ascii="Times New Roman" w:hAnsi="Times New Roman" w:cs="Times New Roman"/>
          <w:sz w:val="24"/>
          <w:szCs w:val="24"/>
        </w:rPr>
        <w:t xml:space="preserve">the </w:t>
      </w:r>
      <w:proofErr w:type="spellStart"/>
      <w:r w:rsidRPr="00766C8E">
        <w:rPr>
          <w:rFonts w:ascii="Times New Roman" w:hAnsi="Times New Roman" w:cs="Times New Roman"/>
          <w:sz w:val="24"/>
          <w:szCs w:val="24"/>
        </w:rPr>
        <w:t>VxRail</w:t>
      </w:r>
      <w:proofErr w:type="spellEnd"/>
      <w:proofErr w:type="gramEnd"/>
      <w:r w:rsidRPr="00766C8E">
        <w:rPr>
          <w:rFonts w:ascii="Times New Roman" w:hAnsi="Times New Roman" w:cs="Times New Roman"/>
          <w:sz w:val="24"/>
          <w:szCs w:val="24"/>
        </w:rPr>
        <w:t xml:space="preserve"> offers excellent scalability, with the ability to accommodate a wider range of data types compared to the other solutions. This flexibility allows it to virtualize a diverse set of operating system requirements, making it a more versatile and future-proof option.</w:t>
      </w:r>
    </w:p>
    <w:p w14:paraId="0A8FC82D" w14:textId="77777777" w:rsidR="00766C8E" w:rsidRPr="00766C8E" w:rsidRDefault="00766C8E" w:rsidP="00766C8E">
      <w:pPr>
        <w:spacing w:line="480" w:lineRule="auto"/>
        <w:rPr>
          <w:rFonts w:ascii="Times New Roman" w:hAnsi="Times New Roman" w:cs="Times New Roman"/>
          <w:sz w:val="24"/>
          <w:szCs w:val="24"/>
        </w:rPr>
      </w:pPr>
      <w:r w:rsidRPr="00766C8E">
        <w:rPr>
          <w:rFonts w:ascii="Times New Roman" w:hAnsi="Times New Roman" w:cs="Times New Roman"/>
          <w:sz w:val="24"/>
          <w:szCs w:val="24"/>
        </w:rPr>
        <w:t xml:space="preserve">Another aspect that sets </w:t>
      </w:r>
      <w:proofErr w:type="gramStart"/>
      <w:r w:rsidRPr="00766C8E">
        <w:rPr>
          <w:rFonts w:ascii="Times New Roman" w:hAnsi="Times New Roman" w:cs="Times New Roman"/>
          <w:sz w:val="24"/>
          <w:szCs w:val="24"/>
        </w:rPr>
        <w:t xml:space="preserve">the </w:t>
      </w:r>
      <w:proofErr w:type="spellStart"/>
      <w:r w:rsidRPr="00766C8E">
        <w:rPr>
          <w:rFonts w:ascii="Times New Roman" w:hAnsi="Times New Roman" w:cs="Times New Roman"/>
          <w:sz w:val="24"/>
          <w:szCs w:val="24"/>
        </w:rPr>
        <w:t>VxRail</w:t>
      </w:r>
      <w:proofErr w:type="spellEnd"/>
      <w:proofErr w:type="gramEnd"/>
      <w:r w:rsidRPr="00766C8E">
        <w:rPr>
          <w:rFonts w:ascii="Times New Roman" w:hAnsi="Times New Roman" w:cs="Times New Roman"/>
          <w:sz w:val="24"/>
          <w:szCs w:val="24"/>
        </w:rPr>
        <w:t xml:space="preserve"> apart is the level of documentation and transparency provided by Dell EMC. The detailed change logs and generational advancements ensure that the solution is well-understood and can be easily tracked over time, providing valuable insights for IT teams.</w:t>
      </w:r>
    </w:p>
    <w:p w14:paraId="48FF2463" w14:textId="77777777" w:rsidR="00766C8E" w:rsidRPr="00766C8E" w:rsidRDefault="00766C8E" w:rsidP="00766C8E">
      <w:pPr>
        <w:spacing w:line="480" w:lineRule="auto"/>
        <w:rPr>
          <w:rFonts w:ascii="Times New Roman" w:hAnsi="Times New Roman" w:cs="Times New Roman"/>
          <w:sz w:val="24"/>
          <w:szCs w:val="24"/>
        </w:rPr>
      </w:pPr>
      <w:r w:rsidRPr="00766C8E">
        <w:rPr>
          <w:rFonts w:ascii="Times New Roman" w:hAnsi="Times New Roman" w:cs="Times New Roman"/>
          <w:sz w:val="24"/>
          <w:szCs w:val="24"/>
        </w:rPr>
        <w:t xml:space="preserve">The wide range of pricing options for </w:t>
      </w:r>
      <w:proofErr w:type="gramStart"/>
      <w:r w:rsidRPr="00766C8E">
        <w:rPr>
          <w:rFonts w:ascii="Times New Roman" w:hAnsi="Times New Roman" w:cs="Times New Roman"/>
          <w:sz w:val="24"/>
          <w:szCs w:val="24"/>
        </w:rPr>
        <w:t xml:space="preserve">the </w:t>
      </w:r>
      <w:proofErr w:type="spellStart"/>
      <w:r w:rsidRPr="00766C8E">
        <w:rPr>
          <w:rFonts w:ascii="Times New Roman" w:hAnsi="Times New Roman" w:cs="Times New Roman"/>
          <w:sz w:val="24"/>
          <w:szCs w:val="24"/>
        </w:rPr>
        <w:t>VxRail</w:t>
      </w:r>
      <w:proofErr w:type="spellEnd"/>
      <w:proofErr w:type="gramEnd"/>
      <w:r w:rsidRPr="00766C8E">
        <w:rPr>
          <w:rFonts w:ascii="Times New Roman" w:hAnsi="Times New Roman" w:cs="Times New Roman"/>
          <w:sz w:val="24"/>
          <w:szCs w:val="24"/>
        </w:rPr>
        <w:t xml:space="preserve">, from $2,000 to $15,000 per node, also makes it a more accessible solution for organizations with varying budgets. This broader affordability spectrum contributes to </w:t>
      </w:r>
      <w:proofErr w:type="gramStart"/>
      <w:r w:rsidRPr="00766C8E">
        <w:rPr>
          <w:rFonts w:ascii="Times New Roman" w:hAnsi="Times New Roman" w:cs="Times New Roman"/>
          <w:sz w:val="24"/>
          <w:szCs w:val="24"/>
        </w:rPr>
        <w:t xml:space="preserve">the </w:t>
      </w:r>
      <w:proofErr w:type="spellStart"/>
      <w:r w:rsidRPr="00766C8E">
        <w:rPr>
          <w:rFonts w:ascii="Times New Roman" w:hAnsi="Times New Roman" w:cs="Times New Roman"/>
          <w:sz w:val="24"/>
          <w:szCs w:val="24"/>
        </w:rPr>
        <w:t>VxRail's</w:t>
      </w:r>
      <w:proofErr w:type="spellEnd"/>
      <w:proofErr w:type="gramEnd"/>
      <w:r w:rsidRPr="00766C8E">
        <w:rPr>
          <w:rFonts w:ascii="Times New Roman" w:hAnsi="Times New Roman" w:cs="Times New Roman"/>
          <w:sz w:val="24"/>
          <w:szCs w:val="24"/>
        </w:rPr>
        <w:t xml:space="preserve"> overall appeal and competitiveness.</w:t>
      </w:r>
    </w:p>
    <w:p w14:paraId="7F23D316" w14:textId="77777777" w:rsidR="00766C8E" w:rsidRPr="00766C8E" w:rsidRDefault="00766C8E" w:rsidP="00766C8E">
      <w:pPr>
        <w:spacing w:line="480" w:lineRule="auto"/>
        <w:rPr>
          <w:rFonts w:ascii="Times New Roman" w:hAnsi="Times New Roman" w:cs="Times New Roman"/>
          <w:sz w:val="24"/>
          <w:szCs w:val="24"/>
        </w:rPr>
      </w:pPr>
      <w:r w:rsidRPr="00766C8E">
        <w:rPr>
          <w:rFonts w:ascii="Times New Roman" w:hAnsi="Times New Roman" w:cs="Times New Roman"/>
          <w:sz w:val="24"/>
          <w:szCs w:val="24"/>
        </w:rPr>
        <w:t xml:space="preserve">In summary, the Dell EMC </w:t>
      </w:r>
      <w:proofErr w:type="spellStart"/>
      <w:r w:rsidRPr="00766C8E">
        <w:rPr>
          <w:rFonts w:ascii="Times New Roman" w:hAnsi="Times New Roman" w:cs="Times New Roman"/>
          <w:sz w:val="24"/>
          <w:szCs w:val="24"/>
        </w:rPr>
        <w:t>VxRail</w:t>
      </w:r>
      <w:proofErr w:type="spellEnd"/>
      <w:r w:rsidRPr="00766C8E">
        <w:rPr>
          <w:rFonts w:ascii="Times New Roman" w:hAnsi="Times New Roman" w:cs="Times New Roman"/>
          <w:sz w:val="24"/>
          <w:szCs w:val="24"/>
        </w:rPr>
        <w:t xml:space="preserve"> emerges as the top choice due to its exceptional disaster recovery capabilities, scalability, documentation, and pricing flexibility. These factors, combined with its strong overall rating, make it a compelling and reliable virtualization solution for enterprises.</w:t>
      </w:r>
    </w:p>
    <w:p w14:paraId="07A6DAF4" w14:textId="2C90DD13" w:rsidR="00766C8E" w:rsidRPr="00766C8E" w:rsidRDefault="00766C8E" w:rsidP="00766C8E">
      <w:pPr>
        <w:spacing w:after="160" w:line="480" w:lineRule="auto"/>
        <w:rPr>
          <w:rFonts w:ascii="Times New Roman" w:hAnsi="Times New Roman" w:cs="Times New Roman"/>
          <w:sz w:val="24"/>
          <w:szCs w:val="24"/>
        </w:rPr>
      </w:pPr>
      <w:r w:rsidRPr="00766C8E">
        <w:rPr>
          <w:rFonts w:ascii="Times New Roman" w:hAnsi="Times New Roman" w:cs="Times New Roman"/>
          <w:sz w:val="24"/>
          <w:szCs w:val="24"/>
        </w:rPr>
        <w:lastRenderedPageBreak/>
        <w:br w:type="page"/>
      </w:r>
    </w:p>
    <w:p w14:paraId="2865D91F" w14:textId="77777777" w:rsidR="00766C8E" w:rsidRPr="00766C8E" w:rsidRDefault="00766C8E" w:rsidP="00766C8E">
      <w:pPr>
        <w:spacing w:line="480" w:lineRule="auto"/>
        <w:rPr>
          <w:rFonts w:ascii="Times New Roman" w:hAnsi="Times New Roman" w:cs="Times New Roman"/>
          <w:sz w:val="24"/>
          <w:szCs w:val="24"/>
        </w:rPr>
      </w:pPr>
      <w:r w:rsidRPr="00766C8E">
        <w:rPr>
          <w:rFonts w:ascii="Times New Roman" w:hAnsi="Times New Roman" w:cs="Times New Roman"/>
          <w:sz w:val="24"/>
          <w:szCs w:val="24"/>
        </w:rPr>
        <w:lastRenderedPageBreak/>
        <w:t>Topic 1: Advantages of HCI over Hardware-Based Approaches</w:t>
      </w:r>
    </w:p>
    <w:p w14:paraId="664733A8" w14:textId="77777777" w:rsidR="00766C8E" w:rsidRPr="00766C8E" w:rsidRDefault="00766C8E" w:rsidP="00766C8E">
      <w:pPr>
        <w:spacing w:line="480" w:lineRule="auto"/>
        <w:rPr>
          <w:rFonts w:ascii="Times New Roman" w:hAnsi="Times New Roman" w:cs="Times New Roman"/>
          <w:sz w:val="24"/>
          <w:szCs w:val="24"/>
        </w:rPr>
      </w:pPr>
      <w:r w:rsidRPr="00766C8E">
        <w:rPr>
          <w:rFonts w:ascii="Times New Roman" w:hAnsi="Times New Roman" w:cs="Times New Roman"/>
          <w:sz w:val="24"/>
          <w:szCs w:val="24"/>
        </w:rPr>
        <w:t>Compared to traditional hardware-based setups, hyperconverged infrastructure (HCI) offers several key advantages. One of the most notable is the ease of scalability. With a hardware-based system, expanding storage or processing power often requires physically installing and connecting new components, leading to a tangled web of cables and configurations. In contrast, HCI allows users to simply add new nodes as needed, without the hassle of manual hardware changes. The system seamlessly integrates the new resources, making the process much more streamlined and manageable.</w:t>
      </w:r>
    </w:p>
    <w:p w14:paraId="5495931D" w14:textId="77777777" w:rsidR="00766C8E" w:rsidRPr="00766C8E" w:rsidRDefault="00766C8E" w:rsidP="00766C8E">
      <w:pPr>
        <w:spacing w:line="480" w:lineRule="auto"/>
        <w:rPr>
          <w:rFonts w:ascii="Times New Roman" w:hAnsi="Times New Roman" w:cs="Times New Roman"/>
          <w:sz w:val="24"/>
          <w:szCs w:val="24"/>
        </w:rPr>
      </w:pPr>
      <w:r w:rsidRPr="00766C8E">
        <w:rPr>
          <w:rFonts w:ascii="Times New Roman" w:hAnsi="Times New Roman" w:cs="Times New Roman"/>
          <w:sz w:val="24"/>
          <w:szCs w:val="24"/>
        </w:rPr>
        <w:t>Another benefit of HCI is the centralized management it provides. Rather than having to juggle multiple device managers for different hardware components, HCI solutions typically offer a single, user-friendly interface to control the entire infrastructure. This simplifies the administrative overhead and makes it easier for IT teams to monitor and maintain the system.</w:t>
      </w:r>
    </w:p>
    <w:p w14:paraId="0939ACA2" w14:textId="77777777" w:rsidR="00766C8E" w:rsidRPr="00766C8E" w:rsidRDefault="00766C8E" w:rsidP="00766C8E">
      <w:pPr>
        <w:spacing w:line="480" w:lineRule="auto"/>
        <w:rPr>
          <w:rFonts w:ascii="Times New Roman" w:hAnsi="Times New Roman" w:cs="Times New Roman"/>
          <w:sz w:val="24"/>
          <w:szCs w:val="24"/>
        </w:rPr>
      </w:pPr>
      <w:r w:rsidRPr="00766C8E">
        <w:rPr>
          <w:rFonts w:ascii="Times New Roman" w:hAnsi="Times New Roman" w:cs="Times New Roman"/>
          <w:sz w:val="24"/>
          <w:szCs w:val="24"/>
        </w:rPr>
        <w:t xml:space="preserve">Certain HCI products also demonstrate impressive resilience and data protection capabilities. For example, the HPE </w:t>
      </w:r>
      <w:proofErr w:type="spellStart"/>
      <w:r w:rsidRPr="00766C8E">
        <w:rPr>
          <w:rFonts w:ascii="Times New Roman" w:hAnsi="Times New Roman" w:cs="Times New Roman"/>
          <w:sz w:val="24"/>
          <w:szCs w:val="24"/>
        </w:rPr>
        <w:t>Siplivity</w:t>
      </w:r>
      <w:proofErr w:type="spellEnd"/>
      <w:r w:rsidRPr="00766C8E">
        <w:rPr>
          <w:rFonts w:ascii="Times New Roman" w:hAnsi="Times New Roman" w:cs="Times New Roman"/>
          <w:sz w:val="24"/>
          <w:szCs w:val="24"/>
        </w:rPr>
        <w:t xml:space="preserve"> platform can store over 200,000 backups and enable quick recovery, while the Dell EMC </w:t>
      </w:r>
      <w:proofErr w:type="spellStart"/>
      <w:r w:rsidRPr="00766C8E">
        <w:rPr>
          <w:rFonts w:ascii="Times New Roman" w:hAnsi="Times New Roman" w:cs="Times New Roman"/>
          <w:sz w:val="24"/>
          <w:szCs w:val="24"/>
        </w:rPr>
        <w:t>VxRail</w:t>
      </w:r>
      <w:proofErr w:type="spellEnd"/>
      <w:r w:rsidRPr="00766C8E">
        <w:rPr>
          <w:rFonts w:ascii="Times New Roman" w:hAnsi="Times New Roman" w:cs="Times New Roman"/>
          <w:sz w:val="24"/>
          <w:szCs w:val="24"/>
        </w:rPr>
        <w:t xml:space="preserve"> can withstand a complete site failure without any data loss. The inherent architecture of HCI, with its distributed resources and redundancy, contributes to this enhanced level of availability and recoverability.</w:t>
      </w:r>
    </w:p>
    <w:p w14:paraId="04A08850" w14:textId="77777777" w:rsidR="00766C8E" w:rsidRPr="00766C8E" w:rsidRDefault="00766C8E" w:rsidP="00766C8E">
      <w:pPr>
        <w:spacing w:line="480" w:lineRule="auto"/>
        <w:rPr>
          <w:rFonts w:ascii="Times New Roman" w:hAnsi="Times New Roman" w:cs="Times New Roman"/>
          <w:sz w:val="24"/>
          <w:szCs w:val="24"/>
        </w:rPr>
      </w:pPr>
      <w:r w:rsidRPr="00766C8E">
        <w:rPr>
          <w:rFonts w:ascii="Times New Roman" w:hAnsi="Times New Roman" w:cs="Times New Roman"/>
          <w:sz w:val="24"/>
          <w:szCs w:val="24"/>
        </w:rPr>
        <w:t>Overall, the structural and operational advantages of HCI make it a more compelling choice than traditional hardware-based setups, particularly in terms of scalability, manageability, and disaster recovery.</w:t>
      </w:r>
    </w:p>
    <w:p w14:paraId="1D9A2727" w14:textId="77777777" w:rsidR="00766C8E" w:rsidRPr="00766C8E" w:rsidRDefault="00766C8E" w:rsidP="00766C8E">
      <w:pPr>
        <w:spacing w:line="480" w:lineRule="auto"/>
        <w:rPr>
          <w:rFonts w:ascii="Times New Roman" w:hAnsi="Times New Roman" w:cs="Times New Roman"/>
          <w:sz w:val="24"/>
          <w:szCs w:val="24"/>
        </w:rPr>
      </w:pPr>
      <w:r w:rsidRPr="00766C8E">
        <w:rPr>
          <w:rFonts w:ascii="Times New Roman" w:hAnsi="Times New Roman" w:cs="Times New Roman"/>
          <w:sz w:val="24"/>
          <w:szCs w:val="24"/>
        </w:rPr>
        <w:t>Topic 2: Binary Translation in Virtualized Environments</w:t>
      </w:r>
    </w:p>
    <w:p w14:paraId="3DDCBE96" w14:textId="77777777" w:rsidR="00766C8E" w:rsidRPr="00766C8E" w:rsidRDefault="00766C8E" w:rsidP="00766C8E">
      <w:pPr>
        <w:spacing w:line="480" w:lineRule="auto"/>
        <w:rPr>
          <w:rFonts w:ascii="Times New Roman" w:hAnsi="Times New Roman" w:cs="Times New Roman"/>
          <w:sz w:val="24"/>
          <w:szCs w:val="24"/>
        </w:rPr>
      </w:pPr>
      <w:r w:rsidRPr="00766C8E">
        <w:rPr>
          <w:rFonts w:ascii="Times New Roman" w:hAnsi="Times New Roman" w:cs="Times New Roman"/>
          <w:sz w:val="24"/>
          <w:szCs w:val="24"/>
        </w:rPr>
        <w:lastRenderedPageBreak/>
        <w:t>Binary translation is a low-level technique used to enable the execution of machine code on different systems. The process typically involves the source system translating the binary code into a higher-level, platform-independent representation, which is then interpreted and converted into new machine code on the target system.</w:t>
      </w:r>
    </w:p>
    <w:p w14:paraId="58885BE7" w14:textId="77777777" w:rsidR="00766C8E" w:rsidRPr="00766C8E" w:rsidRDefault="00766C8E" w:rsidP="00766C8E">
      <w:pPr>
        <w:spacing w:line="480" w:lineRule="auto"/>
        <w:rPr>
          <w:rFonts w:ascii="Times New Roman" w:hAnsi="Times New Roman" w:cs="Times New Roman"/>
          <w:sz w:val="24"/>
          <w:szCs w:val="24"/>
        </w:rPr>
      </w:pPr>
      <w:r w:rsidRPr="00766C8E">
        <w:rPr>
          <w:rFonts w:ascii="Times New Roman" w:hAnsi="Times New Roman" w:cs="Times New Roman"/>
          <w:sz w:val="24"/>
          <w:szCs w:val="24"/>
        </w:rPr>
        <w:t>This approach can be particularly useful when sharing applications or programs across devices with varying hardware or software architectures. For example, if a user on one network builds an application and sends it to a colleague using a different operating system, the binary translation ensures the code can be properly executed on the recipient's machine.</w:t>
      </w:r>
    </w:p>
    <w:p w14:paraId="023A9DD7" w14:textId="77777777" w:rsidR="00766C8E" w:rsidRPr="00766C8E" w:rsidRDefault="00766C8E" w:rsidP="00766C8E">
      <w:pPr>
        <w:spacing w:line="480" w:lineRule="auto"/>
        <w:rPr>
          <w:rFonts w:ascii="Times New Roman" w:hAnsi="Times New Roman" w:cs="Times New Roman"/>
          <w:sz w:val="24"/>
          <w:szCs w:val="24"/>
        </w:rPr>
      </w:pPr>
      <w:r w:rsidRPr="00766C8E">
        <w:rPr>
          <w:rFonts w:ascii="Times New Roman" w:hAnsi="Times New Roman" w:cs="Times New Roman"/>
          <w:sz w:val="24"/>
          <w:szCs w:val="24"/>
        </w:rPr>
        <w:t>In the context of hyperconverged infrastructure (HCI), the need for binary translation is often minimized. Since HCI leverages a virtualized environment, the virtual machines (VMs) within the system are accessing the same pool of shared resources, regardless of their individual configurations. As a result, the binary code can be directly utilized by the target VM without the need for translation, as the underlying hardware and software layers are consistent across the HCI platform.</w:t>
      </w:r>
    </w:p>
    <w:p w14:paraId="1DC5EA52" w14:textId="77777777" w:rsidR="00766C8E" w:rsidRPr="00766C8E" w:rsidRDefault="00766C8E" w:rsidP="00766C8E">
      <w:pPr>
        <w:spacing w:line="480" w:lineRule="auto"/>
        <w:rPr>
          <w:rFonts w:ascii="Times New Roman" w:hAnsi="Times New Roman" w:cs="Times New Roman"/>
          <w:sz w:val="24"/>
          <w:szCs w:val="24"/>
        </w:rPr>
      </w:pPr>
      <w:r w:rsidRPr="00766C8E">
        <w:rPr>
          <w:rFonts w:ascii="Times New Roman" w:hAnsi="Times New Roman" w:cs="Times New Roman"/>
          <w:sz w:val="24"/>
          <w:szCs w:val="24"/>
        </w:rPr>
        <w:t>This seamless integration of resources in HCI systems can lead to improved performance, as the overhead associated with binary translation is avoided. Furthermore, the central management and orchestration capabilities of HCI can further streamline the deployment and utilization of applications across the virtualized infrastructure.</w:t>
      </w:r>
    </w:p>
    <w:p w14:paraId="4C7DDF7E" w14:textId="1C5200E1" w:rsidR="00766C8E" w:rsidRDefault="00766C8E">
      <w:pPr>
        <w:spacing w:after="160" w:line="278" w:lineRule="auto"/>
      </w:pPr>
      <w:r>
        <w:br w:type="page"/>
      </w:r>
    </w:p>
    <w:p w14:paraId="10F88238" w14:textId="6AE39D2C" w:rsidR="00DF008B" w:rsidRDefault="00766C8E" w:rsidP="00766C8E">
      <w:pPr>
        <w:jc w:val="center"/>
        <w:rPr>
          <w:rFonts w:ascii="Times New Roman" w:hAnsi="Times New Roman" w:cs="Times New Roman"/>
          <w:sz w:val="24"/>
          <w:szCs w:val="24"/>
        </w:rPr>
      </w:pPr>
      <w:r>
        <w:rPr>
          <w:rFonts w:ascii="Times New Roman" w:hAnsi="Times New Roman" w:cs="Times New Roman"/>
          <w:sz w:val="2"/>
          <w:szCs w:val="2"/>
        </w:rPr>
        <w:lastRenderedPageBreak/>
        <w:t>2</w:t>
      </w:r>
      <w:r>
        <w:rPr>
          <w:rFonts w:ascii="Times New Roman" w:hAnsi="Times New Roman" w:cs="Times New Roman"/>
          <w:sz w:val="24"/>
          <w:szCs w:val="24"/>
        </w:rPr>
        <w:t xml:space="preserve">References: </w:t>
      </w:r>
    </w:p>
    <w:p w14:paraId="710606C6" w14:textId="3C5BEFF7" w:rsidR="00766C8E" w:rsidRDefault="00766C8E" w:rsidP="00766C8E">
      <w:pPr>
        <w:pStyle w:val="NormalWeb"/>
        <w:spacing w:before="0" w:beforeAutospacing="0" w:after="0" w:afterAutospacing="0" w:line="480" w:lineRule="auto"/>
        <w:ind w:left="720" w:hanging="720"/>
        <w:rPr>
          <w:rStyle w:val="url"/>
          <w:rFonts w:eastAsiaTheme="majorEastAsia"/>
        </w:rPr>
      </w:pPr>
      <w:r>
        <w:t xml:space="preserve">Bigelow, S. J. (2024, January 9). </w:t>
      </w:r>
      <w:r>
        <w:rPr>
          <w:i/>
          <w:iCs/>
        </w:rPr>
        <w:t>What is hyperconverged infrastructure? Guide to HCI</w:t>
      </w:r>
      <w:r>
        <w:t xml:space="preserve">. Data Center. </w:t>
      </w:r>
      <w:hyperlink r:id="rId8" w:history="1">
        <w:r w:rsidRPr="00535BEB">
          <w:rPr>
            <w:rStyle w:val="Hyperlink"/>
            <w:rFonts w:eastAsiaTheme="majorEastAsia"/>
          </w:rPr>
          <w:t>https://www.techtarget.com/searchdatacenter/definition/What-is-hyper-converged-infrastructure-Guide-to-HCI</w:t>
        </w:r>
      </w:hyperlink>
    </w:p>
    <w:p w14:paraId="5F5F18C7" w14:textId="1036682E" w:rsidR="00766C8E" w:rsidRDefault="00766C8E" w:rsidP="00766C8E">
      <w:pPr>
        <w:pStyle w:val="NormalWeb"/>
        <w:spacing w:before="0" w:beforeAutospacing="0" w:after="0" w:afterAutospacing="0" w:line="480" w:lineRule="auto"/>
        <w:ind w:left="720" w:hanging="720"/>
      </w:pPr>
      <w:r>
        <w:rPr>
          <w:i/>
          <w:iCs/>
        </w:rPr>
        <w:t>What is Hyperconverged Infrastructure (HCI) - FAQs</w:t>
      </w:r>
      <w:r>
        <w:t xml:space="preserve">. (n.d.). Nutanix. </w:t>
      </w:r>
      <w:hyperlink r:id="rId9" w:history="1">
        <w:r w:rsidRPr="00535BEB">
          <w:rPr>
            <w:rStyle w:val="Hyperlink"/>
            <w:rFonts w:eastAsiaTheme="majorEastAsia"/>
          </w:rPr>
          <w:t>https://www.nutanix.com/hyperconverged-infrastructure</w:t>
        </w:r>
      </w:hyperlink>
    </w:p>
    <w:p w14:paraId="2110A0BE" w14:textId="4E8F24C3" w:rsidR="00766C8E" w:rsidRDefault="00766C8E" w:rsidP="00766C8E">
      <w:pPr>
        <w:pStyle w:val="NormalWeb"/>
        <w:spacing w:before="0" w:beforeAutospacing="0" w:after="0" w:afterAutospacing="0" w:line="480" w:lineRule="auto"/>
        <w:ind w:left="720" w:hanging="720"/>
      </w:pPr>
      <w:proofErr w:type="spellStart"/>
      <w:r>
        <w:t>TrustRadius</w:t>
      </w:r>
      <w:proofErr w:type="spellEnd"/>
      <w:r>
        <w:t xml:space="preserve">. (2016, August 30). </w:t>
      </w:r>
      <w:r>
        <w:rPr>
          <w:i/>
          <w:iCs/>
        </w:rPr>
        <w:t xml:space="preserve">Making the jump to Acropolis is worth it | </w:t>
      </w:r>
      <w:proofErr w:type="spellStart"/>
      <w:r>
        <w:rPr>
          <w:i/>
          <w:iCs/>
        </w:rPr>
        <w:t>TrustRadius</w:t>
      </w:r>
      <w:proofErr w:type="spellEnd"/>
      <w:r>
        <w:t xml:space="preserve">. </w:t>
      </w:r>
      <w:hyperlink r:id="rId10" w:history="1">
        <w:r w:rsidRPr="00535BEB">
          <w:rPr>
            <w:rStyle w:val="Hyperlink"/>
            <w:rFonts w:eastAsiaTheme="majorEastAsia"/>
          </w:rPr>
          <w:t>https://www.trustradius.com/reviews/nutanix-acropolis-2016-08-30-12-01-00</w:t>
        </w:r>
      </w:hyperlink>
    </w:p>
    <w:p w14:paraId="17AA8811" w14:textId="742B0760" w:rsidR="00766C8E" w:rsidRDefault="00766C8E" w:rsidP="00766C8E">
      <w:pPr>
        <w:pStyle w:val="NormalWeb"/>
        <w:spacing w:before="0" w:beforeAutospacing="0" w:after="0" w:afterAutospacing="0" w:line="480" w:lineRule="auto"/>
        <w:ind w:left="720" w:hanging="720"/>
      </w:pPr>
      <w:r>
        <w:rPr>
          <w:i/>
          <w:iCs/>
        </w:rPr>
        <w:t>Nutanix | *UPDATED*</w:t>
      </w:r>
      <w:r>
        <w:t xml:space="preserve">. (n.d.). </w:t>
      </w:r>
      <w:hyperlink r:id="rId11" w:history="1">
        <w:r w:rsidRPr="00535BEB">
          <w:rPr>
            <w:rStyle w:val="Hyperlink"/>
            <w:rFonts w:eastAsiaTheme="majorEastAsia"/>
          </w:rPr>
          <w:t>https://storagepricing.org/category/nutanix/</w:t>
        </w:r>
      </w:hyperlink>
    </w:p>
    <w:p w14:paraId="76576788" w14:textId="4E21B6AD" w:rsidR="00766C8E" w:rsidRDefault="00766C8E" w:rsidP="00766C8E">
      <w:pPr>
        <w:pStyle w:val="NormalWeb"/>
        <w:spacing w:before="0" w:beforeAutospacing="0" w:after="0" w:afterAutospacing="0" w:line="480" w:lineRule="auto"/>
        <w:ind w:left="720" w:hanging="720"/>
      </w:pPr>
      <w:proofErr w:type="spellStart"/>
      <w:r>
        <w:rPr>
          <w:i/>
          <w:iCs/>
        </w:rPr>
        <w:t>VXRail</w:t>
      </w:r>
      <w:proofErr w:type="spellEnd"/>
      <w:r>
        <w:rPr>
          <w:i/>
          <w:iCs/>
        </w:rPr>
        <w:t xml:space="preserve"> Hyperconverged infrastructure</w:t>
      </w:r>
      <w:r>
        <w:t xml:space="preserve">. (n.d.). Dell USA. </w:t>
      </w:r>
      <w:hyperlink r:id="rId12" w:anchor="tab0=0&amp;tab1=0" w:history="1">
        <w:r w:rsidRPr="00535BEB">
          <w:rPr>
            <w:rStyle w:val="Hyperlink"/>
            <w:rFonts w:eastAsiaTheme="majorEastAsia"/>
          </w:rPr>
          <w:t>https://www.dell.com/en-us/dt/converged-infrastructure/vxrail/index.htm#tab0=0&amp;tab1=0</w:t>
        </w:r>
      </w:hyperlink>
    </w:p>
    <w:p w14:paraId="79543729" w14:textId="70B25DED" w:rsidR="00766C8E" w:rsidRDefault="00766C8E" w:rsidP="00766C8E">
      <w:pPr>
        <w:pStyle w:val="NormalWeb"/>
        <w:spacing w:before="0" w:beforeAutospacing="0" w:after="0" w:afterAutospacing="0" w:line="480" w:lineRule="auto"/>
        <w:ind w:left="720" w:hanging="720"/>
      </w:pPr>
      <w:r>
        <w:t xml:space="preserve">Kidd, M. (2017, February 15). Dell EMC </w:t>
      </w:r>
      <w:proofErr w:type="spellStart"/>
      <w:r>
        <w:t>VXRail</w:t>
      </w:r>
      <w:proofErr w:type="spellEnd"/>
      <w:r>
        <w:t xml:space="preserve"> Overview. </w:t>
      </w:r>
      <w:r>
        <w:rPr>
          <w:i/>
          <w:iCs/>
        </w:rPr>
        <w:t>StorageReview.com</w:t>
      </w:r>
      <w:r>
        <w:t xml:space="preserve">. </w:t>
      </w:r>
      <w:hyperlink r:id="rId13" w:history="1">
        <w:r w:rsidRPr="00535BEB">
          <w:rPr>
            <w:rStyle w:val="Hyperlink"/>
            <w:rFonts w:eastAsiaTheme="majorEastAsia"/>
          </w:rPr>
          <w:t>https://www.storagereview.com/review/dell-emc-vxrail-overview</w:t>
        </w:r>
      </w:hyperlink>
    </w:p>
    <w:p w14:paraId="7BB7AE60" w14:textId="78351CF9" w:rsidR="00766C8E" w:rsidRDefault="00766C8E" w:rsidP="00766C8E">
      <w:pPr>
        <w:pStyle w:val="NormalWeb"/>
        <w:spacing w:before="0" w:beforeAutospacing="0" w:after="0" w:afterAutospacing="0" w:line="480" w:lineRule="auto"/>
        <w:ind w:left="720" w:hanging="720"/>
      </w:pPr>
      <w:r>
        <w:rPr>
          <w:i/>
          <w:iCs/>
        </w:rPr>
        <w:t xml:space="preserve">Compare Cisco </w:t>
      </w:r>
      <w:proofErr w:type="spellStart"/>
      <w:r>
        <w:rPr>
          <w:i/>
          <w:iCs/>
        </w:rPr>
        <w:t>HyperFlex</w:t>
      </w:r>
      <w:proofErr w:type="spellEnd"/>
      <w:r>
        <w:rPr>
          <w:i/>
          <w:iCs/>
        </w:rPr>
        <w:t xml:space="preserve"> HX-Series [EOL] vs </w:t>
      </w:r>
      <w:proofErr w:type="spellStart"/>
      <w:r>
        <w:rPr>
          <w:i/>
          <w:iCs/>
        </w:rPr>
        <w:t>Springpath</w:t>
      </w:r>
      <w:proofErr w:type="spellEnd"/>
      <w:r>
        <w:rPr>
          <w:i/>
          <w:iCs/>
        </w:rPr>
        <w:t xml:space="preserve"> [EOL]</w:t>
      </w:r>
      <w:r>
        <w:t xml:space="preserve">. (n.d.). </w:t>
      </w:r>
      <w:proofErr w:type="spellStart"/>
      <w:r>
        <w:t>PeerSpot</w:t>
      </w:r>
      <w:proofErr w:type="spellEnd"/>
      <w:r>
        <w:t xml:space="preserve">. </w:t>
      </w:r>
      <w:hyperlink r:id="rId14" w:history="1">
        <w:r w:rsidR="001135A2" w:rsidRPr="00535BEB">
          <w:rPr>
            <w:rStyle w:val="Hyperlink"/>
            <w:rFonts w:eastAsiaTheme="majorEastAsia"/>
          </w:rPr>
          <w:t>https://www.peerspot.com/products/comparisons/cisco-hyperflex-hx-series-eol_vs_springpath-eol</w:t>
        </w:r>
      </w:hyperlink>
      <w:r w:rsidR="001135A2">
        <w:rPr>
          <w:rStyle w:val="url"/>
          <w:rFonts w:eastAsiaTheme="majorEastAsia"/>
        </w:rPr>
        <w:t xml:space="preserve"> </w:t>
      </w:r>
    </w:p>
    <w:p w14:paraId="68B8FC9F" w14:textId="356215C3" w:rsidR="001135A2" w:rsidRDefault="001135A2" w:rsidP="001135A2">
      <w:pPr>
        <w:pStyle w:val="NormalWeb"/>
        <w:spacing w:before="0" w:beforeAutospacing="0" w:after="0" w:afterAutospacing="0" w:line="480" w:lineRule="auto"/>
        <w:ind w:left="720" w:hanging="720"/>
        <w:rPr>
          <w:rStyle w:val="url"/>
          <w:rFonts w:eastAsiaTheme="majorEastAsia"/>
        </w:rPr>
      </w:pPr>
      <w:r>
        <w:rPr>
          <w:i/>
          <w:iCs/>
        </w:rPr>
        <w:t>Compare NetApp FAS Series vs Nutanix Cloud Infrastructure (NCI)</w:t>
      </w:r>
      <w:r>
        <w:t xml:space="preserve">. (n.d.). </w:t>
      </w:r>
      <w:proofErr w:type="spellStart"/>
      <w:r>
        <w:t>PeerSpot</w:t>
      </w:r>
      <w:proofErr w:type="spellEnd"/>
      <w:r>
        <w:t xml:space="preserve">. </w:t>
      </w:r>
      <w:hyperlink r:id="rId15" w:history="1">
        <w:r w:rsidRPr="00535BEB">
          <w:rPr>
            <w:rStyle w:val="Hyperlink"/>
            <w:rFonts w:eastAsiaTheme="majorEastAsia"/>
          </w:rPr>
          <w:t>https://www.itcentralstation.com/products/comparisons/netapp-fas-series_vs_nutanix</w:t>
        </w:r>
      </w:hyperlink>
    </w:p>
    <w:p w14:paraId="00D62652" w14:textId="5BAAD0AD" w:rsidR="00766C8E" w:rsidRDefault="001135A2" w:rsidP="001135A2">
      <w:pPr>
        <w:pStyle w:val="NormalWeb"/>
        <w:spacing w:before="0" w:beforeAutospacing="0" w:after="0" w:afterAutospacing="0" w:line="480" w:lineRule="auto"/>
      </w:pPr>
      <w:r>
        <w:t xml:space="preserve">De Gelas, J. (2008, March 17). </w:t>
      </w:r>
      <w:r>
        <w:rPr>
          <w:i/>
          <w:iCs/>
        </w:rPr>
        <w:t xml:space="preserve">Hardware Virtualization: </w:t>
      </w:r>
      <w:proofErr w:type="gramStart"/>
      <w:r>
        <w:rPr>
          <w:i/>
          <w:iCs/>
        </w:rPr>
        <w:t>the</w:t>
      </w:r>
      <w:proofErr w:type="gramEnd"/>
      <w:r>
        <w:rPr>
          <w:i/>
          <w:iCs/>
        </w:rPr>
        <w:t xml:space="preserve"> Nuts and Bolts</w:t>
      </w:r>
      <w:r>
        <w:t xml:space="preserve">. </w:t>
      </w:r>
      <w:proofErr w:type="spellStart"/>
      <w:r>
        <w:t>AnandTech</w:t>
      </w:r>
      <w:proofErr w:type="spellEnd"/>
      <w:r>
        <w:t xml:space="preserve">. </w:t>
      </w:r>
      <w:hyperlink r:id="rId16" w:history="1">
        <w:r w:rsidRPr="00535BEB">
          <w:rPr>
            <w:rStyle w:val="Hyperlink"/>
            <w:rFonts w:eastAsiaTheme="majorEastAsia"/>
          </w:rPr>
          <w:t>https://www.anandtech.com/show/2480/4</w:t>
        </w:r>
      </w:hyperlink>
    </w:p>
    <w:p w14:paraId="7FA49388" w14:textId="77777777" w:rsidR="001135A2" w:rsidRPr="00766C8E" w:rsidRDefault="001135A2" w:rsidP="001135A2">
      <w:pPr>
        <w:pStyle w:val="NormalWeb"/>
        <w:spacing w:before="0" w:beforeAutospacing="0" w:after="0" w:afterAutospacing="0" w:line="480" w:lineRule="auto"/>
        <w:ind w:left="720" w:hanging="720"/>
      </w:pPr>
    </w:p>
    <w:sectPr w:rsidR="001135A2" w:rsidRPr="00766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08B"/>
    <w:rsid w:val="00011218"/>
    <w:rsid w:val="001135A2"/>
    <w:rsid w:val="00363AED"/>
    <w:rsid w:val="00766C8E"/>
    <w:rsid w:val="00AD0E40"/>
    <w:rsid w:val="00B576D0"/>
    <w:rsid w:val="00DF008B"/>
    <w:rsid w:val="00FD1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6DECF2"/>
  <w15:chartTrackingRefBased/>
  <w15:docId w15:val="{9E75B969-F33A-41DF-920C-9D72278DE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08B"/>
    <w:pPr>
      <w:spacing w:after="200" w:line="276" w:lineRule="auto"/>
    </w:pPr>
    <w:rPr>
      <w:kern w:val="0"/>
      <w:sz w:val="22"/>
      <w:szCs w:val="22"/>
      <w14:ligatures w14:val="none"/>
    </w:rPr>
  </w:style>
  <w:style w:type="paragraph" w:styleId="Heading1">
    <w:name w:val="heading 1"/>
    <w:basedOn w:val="Normal"/>
    <w:next w:val="Normal"/>
    <w:link w:val="Heading1Char"/>
    <w:uiPriority w:val="9"/>
    <w:qFormat/>
    <w:rsid w:val="00DF00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00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00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00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00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00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00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00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00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0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00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00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00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00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00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00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00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008B"/>
    <w:rPr>
      <w:rFonts w:eastAsiaTheme="majorEastAsia" w:cstheme="majorBidi"/>
      <w:color w:val="272727" w:themeColor="text1" w:themeTint="D8"/>
    </w:rPr>
  </w:style>
  <w:style w:type="paragraph" w:styleId="Title">
    <w:name w:val="Title"/>
    <w:basedOn w:val="Normal"/>
    <w:next w:val="Normal"/>
    <w:link w:val="TitleChar"/>
    <w:uiPriority w:val="10"/>
    <w:qFormat/>
    <w:rsid w:val="00DF00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00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00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00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008B"/>
    <w:pPr>
      <w:spacing w:before="160"/>
      <w:jc w:val="center"/>
    </w:pPr>
    <w:rPr>
      <w:i/>
      <w:iCs/>
      <w:color w:val="404040" w:themeColor="text1" w:themeTint="BF"/>
    </w:rPr>
  </w:style>
  <w:style w:type="character" w:customStyle="1" w:styleId="QuoteChar">
    <w:name w:val="Quote Char"/>
    <w:basedOn w:val="DefaultParagraphFont"/>
    <w:link w:val="Quote"/>
    <w:uiPriority w:val="29"/>
    <w:rsid w:val="00DF008B"/>
    <w:rPr>
      <w:i/>
      <w:iCs/>
      <w:color w:val="404040" w:themeColor="text1" w:themeTint="BF"/>
    </w:rPr>
  </w:style>
  <w:style w:type="paragraph" w:styleId="ListParagraph">
    <w:name w:val="List Paragraph"/>
    <w:basedOn w:val="Normal"/>
    <w:uiPriority w:val="34"/>
    <w:qFormat/>
    <w:rsid w:val="00DF008B"/>
    <w:pPr>
      <w:ind w:left="720"/>
      <w:contextualSpacing/>
    </w:pPr>
  </w:style>
  <w:style w:type="character" w:styleId="IntenseEmphasis">
    <w:name w:val="Intense Emphasis"/>
    <w:basedOn w:val="DefaultParagraphFont"/>
    <w:uiPriority w:val="21"/>
    <w:qFormat/>
    <w:rsid w:val="00DF008B"/>
    <w:rPr>
      <w:i/>
      <w:iCs/>
      <w:color w:val="0F4761" w:themeColor="accent1" w:themeShade="BF"/>
    </w:rPr>
  </w:style>
  <w:style w:type="paragraph" w:styleId="IntenseQuote">
    <w:name w:val="Intense Quote"/>
    <w:basedOn w:val="Normal"/>
    <w:next w:val="Normal"/>
    <w:link w:val="IntenseQuoteChar"/>
    <w:uiPriority w:val="30"/>
    <w:qFormat/>
    <w:rsid w:val="00DF00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008B"/>
    <w:rPr>
      <w:i/>
      <w:iCs/>
      <w:color w:val="0F4761" w:themeColor="accent1" w:themeShade="BF"/>
    </w:rPr>
  </w:style>
  <w:style w:type="character" w:styleId="IntenseReference">
    <w:name w:val="Intense Reference"/>
    <w:basedOn w:val="DefaultParagraphFont"/>
    <w:uiPriority w:val="32"/>
    <w:qFormat/>
    <w:rsid w:val="00DF008B"/>
    <w:rPr>
      <w:b/>
      <w:bCs/>
      <w:smallCaps/>
      <w:color w:val="0F4761" w:themeColor="accent1" w:themeShade="BF"/>
      <w:spacing w:val="5"/>
    </w:rPr>
  </w:style>
  <w:style w:type="character" w:styleId="Hyperlink">
    <w:name w:val="Hyperlink"/>
    <w:basedOn w:val="DefaultParagraphFont"/>
    <w:uiPriority w:val="99"/>
    <w:unhideWhenUsed/>
    <w:rsid w:val="00DF008B"/>
    <w:rPr>
      <w:color w:val="467886" w:themeColor="hyperlink"/>
      <w:u w:val="single"/>
    </w:rPr>
  </w:style>
  <w:style w:type="paragraph" w:styleId="NormalWeb">
    <w:name w:val="Normal (Web)"/>
    <w:basedOn w:val="Normal"/>
    <w:uiPriority w:val="99"/>
    <w:unhideWhenUsed/>
    <w:rsid w:val="00766C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rl">
    <w:name w:val="url"/>
    <w:basedOn w:val="DefaultParagraphFont"/>
    <w:rsid w:val="00766C8E"/>
  </w:style>
  <w:style w:type="character" w:styleId="UnresolvedMention">
    <w:name w:val="Unresolved Mention"/>
    <w:basedOn w:val="DefaultParagraphFont"/>
    <w:uiPriority w:val="99"/>
    <w:semiHidden/>
    <w:unhideWhenUsed/>
    <w:rsid w:val="00766C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98062">
      <w:bodyDiv w:val="1"/>
      <w:marLeft w:val="0"/>
      <w:marRight w:val="0"/>
      <w:marTop w:val="0"/>
      <w:marBottom w:val="0"/>
      <w:divBdr>
        <w:top w:val="none" w:sz="0" w:space="0" w:color="auto"/>
        <w:left w:val="none" w:sz="0" w:space="0" w:color="auto"/>
        <w:bottom w:val="none" w:sz="0" w:space="0" w:color="auto"/>
        <w:right w:val="none" w:sz="0" w:space="0" w:color="auto"/>
      </w:divBdr>
      <w:divsChild>
        <w:div w:id="132449417">
          <w:marLeft w:val="-720"/>
          <w:marRight w:val="0"/>
          <w:marTop w:val="0"/>
          <w:marBottom w:val="0"/>
          <w:divBdr>
            <w:top w:val="none" w:sz="0" w:space="0" w:color="auto"/>
            <w:left w:val="none" w:sz="0" w:space="0" w:color="auto"/>
            <w:bottom w:val="none" w:sz="0" w:space="0" w:color="auto"/>
            <w:right w:val="none" w:sz="0" w:space="0" w:color="auto"/>
          </w:divBdr>
        </w:div>
      </w:divsChild>
    </w:div>
    <w:div w:id="38166620">
      <w:bodyDiv w:val="1"/>
      <w:marLeft w:val="0"/>
      <w:marRight w:val="0"/>
      <w:marTop w:val="0"/>
      <w:marBottom w:val="0"/>
      <w:divBdr>
        <w:top w:val="none" w:sz="0" w:space="0" w:color="auto"/>
        <w:left w:val="none" w:sz="0" w:space="0" w:color="auto"/>
        <w:bottom w:val="none" w:sz="0" w:space="0" w:color="auto"/>
        <w:right w:val="none" w:sz="0" w:space="0" w:color="auto"/>
      </w:divBdr>
    </w:div>
    <w:div w:id="39788174">
      <w:bodyDiv w:val="1"/>
      <w:marLeft w:val="0"/>
      <w:marRight w:val="0"/>
      <w:marTop w:val="0"/>
      <w:marBottom w:val="0"/>
      <w:divBdr>
        <w:top w:val="none" w:sz="0" w:space="0" w:color="auto"/>
        <w:left w:val="none" w:sz="0" w:space="0" w:color="auto"/>
        <w:bottom w:val="none" w:sz="0" w:space="0" w:color="auto"/>
        <w:right w:val="none" w:sz="0" w:space="0" w:color="auto"/>
      </w:divBdr>
    </w:div>
    <w:div w:id="100954079">
      <w:bodyDiv w:val="1"/>
      <w:marLeft w:val="0"/>
      <w:marRight w:val="0"/>
      <w:marTop w:val="0"/>
      <w:marBottom w:val="0"/>
      <w:divBdr>
        <w:top w:val="none" w:sz="0" w:space="0" w:color="auto"/>
        <w:left w:val="none" w:sz="0" w:space="0" w:color="auto"/>
        <w:bottom w:val="none" w:sz="0" w:space="0" w:color="auto"/>
        <w:right w:val="none" w:sz="0" w:space="0" w:color="auto"/>
      </w:divBdr>
      <w:divsChild>
        <w:div w:id="401410569">
          <w:marLeft w:val="-720"/>
          <w:marRight w:val="0"/>
          <w:marTop w:val="0"/>
          <w:marBottom w:val="0"/>
          <w:divBdr>
            <w:top w:val="none" w:sz="0" w:space="0" w:color="auto"/>
            <w:left w:val="none" w:sz="0" w:space="0" w:color="auto"/>
            <w:bottom w:val="none" w:sz="0" w:space="0" w:color="auto"/>
            <w:right w:val="none" w:sz="0" w:space="0" w:color="auto"/>
          </w:divBdr>
        </w:div>
      </w:divsChild>
    </w:div>
    <w:div w:id="170803896">
      <w:bodyDiv w:val="1"/>
      <w:marLeft w:val="0"/>
      <w:marRight w:val="0"/>
      <w:marTop w:val="0"/>
      <w:marBottom w:val="0"/>
      <w:divBdr>
        <w:top w:val="none" w:sz="0" w:space="0" w:color="auto"/>
        <w:left w:val="none" w:sz="0" w:space="0" w:color="auto"/>
        <w:bottom w:val="none" w:sz="0" w:space="0" w:color="auto"/>
        <w:right w:val="none" w:sz="0" w:space="0" w:color="auto"/>
      </w:divBdr>
    </w:div>
    <w:div w:id="196938213">
      <w:bodyDiv w:val="1"/>
      <w:marLeft w:val="0"/>
      <w:marRight w:val="0"/>
      <w:marTop w:val="0"/>
      <w:marBottom w:val="0"/>
      <w:divBdr>
        <w:top w:val="none" w:sz="0" w:space="0" w:color="auto"/>
        <w:left w:val="none" w:sz="0" w:space="0" w:color="auto"/>
        <w:bottom w:val="none" w:sz="0" w:space="0" w:color="auto"/>
        <w:right w:val="none" w:sz="0" w:space="0" w:color="auto"/>
      </w:divBdr>
    </w:div>
    <w:div w:id="255093715">
      <w:bodyDiv w:val="1"/>
      <w:marLeft w:val="0"/>
      <w:marRight w:val="0"/>
      <w:marTop w:val="0"/>
      <w:marBottom w:val="0"/>
      <w:divBdr>
        <w:top w:val="none" w:sz="0" w:space="0" w:color="auto"/>
        <w:left w:val="none" w:sz="0" w:space="0" w:color="auto"/>
        <w:bottom w:val="none" w:sz="0" w:space="0" w:color="auto"/>
        <w:right w:val="none" w:sz="0" w:space="0" w:color="auto"/>
      </w:divBdr>
      <w:divsChild>
        <w:div w:id="1375885569">
          <w:marLeft w:val="-720"/>
          <w:marRight w:val="0"/>
          <w:marTop w:val="0"/>
          <w:marBottom w:val="0"/>
          <w:divBdr>
            <w:top w:val="none" w:sz="0" w:space="0" w:color="auto"/>
            <w:left w:val="none" w:sz="0" w:space="0" w:color="auto"/>
            <w:bottom w:val="none" w:sz="0" w:space="0" w:color="auto"/>
            <w:right w:val="none" w:sz="0" w:space="0" w:color="auto"/>
          </w:divBdr>
        </w:div>
      </w:divsChild>
    </w:div>
    <w:div w:id="353768850">
      <w:bodyDiv w:val="1"/>
      <w:marLeft w:val="0"/>
      <w:marRight w:val="0"/>
      <w:marTop w:val="0"/>
      <w:marBottom w:val="0"/>
      <w:divBdr>
        <w:top w:val="none" w:sz="0" w:space="0" w:color="auto"/>
        <w:left w:val="none" w:sz="0" w:space="0" w:color="auto"/>
        <w:bottom w:val="none" w:sz="0" w:space="0" w:color="auto"/>
        <w:right w:val="none" w:sz="0" w:space="0" w:color="auto"/>
      </w:divBdr>
      <w:divsChild>
        <w:div w:id="1306816717">
          <w:marLeft w:val="-720"/>
          <w:marRight w:val="0"/>
          <w:marTop w:val="0"/>
          <w:marBottom w:val="0"/>
          <w:divBdr>
            <w:top w:val="none" w:sz="0" w:space="0" w:color="auto"/>
            <w:left w:val="none" w:sz="0" w:space="0" w:color="auto"/>
            <w:bottom w:val="none" w:sz="0" w:space="0" w:color="auto"/>
            <w:right w:val="none" w:sz="0" w:space="0" w:color="auto"/>
          </w:divBdr>
        </w:div>
      </w:divsChild>
    </w:div>
    <w:div w:id="382943960">
      <w:bodyDiv w:val="1"/>
      <w:marLeft w:val="0"/>
      <w:marRight w:val="0"/>
      <w:marTop w:val="0"/>
      <w:marBottom w:val="0"/>
      <w:divBdr>
        <w:top w:val="none" w:sz="0" w:space="0" w:color="auto"/>
        <w:left w:val="none" w:sz="0" w:space="0" w:color="auto"/>
        <w:bottom w:val="none" w:sz="0" w:space="0" w:color="auto"/>
        <w:right w:val="none" w:sz="0" w:space="0" w:color="auto"/>
      </w:divBdr>
      <w:divsChild>
        <w:div w:id="651298300">
          <w:marLeft w:val="-720"/>
          <w:marRight w:val="0"/>
          <w:marTop w:val="0"/>
          <w:marBottom w:val="0"/>
          <w:divBdr>
            <w:top w:val="none" w:sz="0" w:space="0" w:color="auto"/>
            <w:left w:val="none" w:sz="0" w:space="0" w:color="auto"/>
            <w:bottom w:val="none" w:sz="0" w:space="0" w:color="auto"/>
            <w:right w:val="none" w:sz="0" w:space="0" w:color="auto"/>
          </w:divBdr>
        </w:div>
      </w:divsChild>
    </w:div>
    <w:div w:id="383405644">
      <w:bodyDiv w:val="1"/>
      <w:marLeft w:val="0"/>
      <w:marRight w:val="0"/>
      <w:marTop w:val="0"/>
      <w:marBottom w:val="0"/>
      <w:divBdr>
        <w:top w:val="none" w:sz="0" w:space="0" w:color="auto"/>
        <w:left w:val="none" w:sz="0" w:space="0" w:color="auto"/>
        <w:bottom w:val="none" w:sz="0" w:space="0" w:color="auto"/>
        <w:right w:val="none" w:sz="0" w:space="0" w:color="auto"/>
      </w:divBdr>
    </w:div>
    <w:div w:id="476799393">
      <w:bodyDiv w:val="1"/>
      <w:marLeft w:val="0"/>
      <w:marRight w:val="0"/>
      <w:marTop w:val="0"/>
      <w:marBottom w:val="0"/>
      <w:divBdr>
        <w:top w:val="none" w:sz="0" w:space="0" w:color="auto"/>
        <w:left w:val="none" w:sz="0" w:space="0" w:color="auto"/>
        <w:bottom w:val="none" w:sz="0" w:space="0" w:color="auto"/>
        <w:right w:val="none" w:sz="0" w:space="0" w:color="auto"/>
      </w:divBdr>
    </w:div>
    <w:div w:id="608968796">
      <w:bodyDiv w:val="1"/>
      <w:marLeft w:val="0"/>
      <w:marRight w:val="0"/>
      <w:marTop w:val="0"/>
      <w:marBottom w:val="0"/>
      <w:divBdr>
        <w:top w:val="none" w:sz="0" w:space="0" w:color="auto"/>
        <w:left w:val="none" w:sz="0" w:space="0" w:color="auto"/>
        <w:bottom w:val="none" w:sz="0" w:space="0" w:color="auto"/>
        <w:right w:val="none" w:sz="0" w:space="0" w:color="auto"/>
      </w:divBdr>
    </w:div>
    <w:div w:id="927735800">
      <w:bodyDiv w:val="1"/>
      <w:marLeft w:val="0"/>
      <w:marRight w:val="0"/>
      <w:marTop w:val="0"/>
      <w:marBottom w:val="0"/>
      <w:divBdr>
        <w:top w:val="none" w:sz="0" w:space="0" w:color="auto"/>
        <w:left w:val="none" w:sz="0" w:space="0" w:color="auto"/>
        <w:bottom w:val="none" w:sz="0" w:space="0" w:color="auto"/>
        <w:right w:val="none" w:sz="0" w:space="0" w:color="auto"/>
      </w:divBdr>
    </w:div>
    <w:div w:id="1267083099">
      <w:bodyDiv w:val="1"/>
      <w:marLeft w:val="0"/>
      <w:marRight w:val="0"/>
      <w:marTop w:val="0"/>
      <w:marBottom w:val="0"/>
      <w:divBdr>
        <w:top w:val="none" w:sz="0" w:space="0" w:color="auto"/>
        <w:left w:val="none" w:sz="0" w:space="0" w:color="auto"/>
        <w:bottom w:val="none" w:sz="0" w:space="0" w:color="auto"/>
        <w:right w:val="none" w:sz="0" w:space="0" w:color="auto"/>
      </w:divBdr>
    </w:div>
    <w:div w:id="1273585826">
      <w:bodyDiv w:val="1"/>
      <w:marLeft w:val="0"/>
      <w:marRight w:val="0"/>
      <w:marTop w:val="0"/>
      <w:marBottom w:val="0"/>
      <w:divBdr>
        <w:top w:val="none" w:sz="0" w:space="0" w:color="auto"/>
        <w:left w:val="none" w:sz="0" w:space="0" w:color="auto"/>
        <w:bottom w:val="none" w:sz="0" w:space="0" w:color="auto"/>
        <w:right w:val="none" w:sz="0" w:space="0" w:color="auto"/>
      </w:divBdr>
    </w:div>
    <w:div w:id="1288203357">
      <w:bodyDiv w:val="1"/>
      <w:marLeft w:val="0"/>
      <w:marRight w:val="0"/>
      <w:marTop w:val="0"/>
      <w:marBottom w:val="0"/>
      <w:divBdr>
        <w:top w:val="none" w:sz="0" w:space="0" w:color="auto"/>
        <w:left w:val="none" w:sz="0" w:space="0" w:color="auto"/>
        <w:bottom w:val="none" w:sz="0" w:space="0" w:color="auto"/>
        <w:right w:val="none" w:sz="0" w:space="0" w:color="auto"/>
      </w:divBdr>
    </w:div>
    <w:div w:id="1309166150">
      <w:bodyDiv w:val="1"/>
      <w:marLeft w:val="0"/>
      <w:marRight w:val="0"/>
      <w:marTop w:val="0"/>
      <w:marBottom w:val="0"/>
      <w:divBdr>
        <w:top w:val="none" w:sz="0" w:space="0" w:color="auto"/>
        <w:left w:val="none" w:sz="0" w:space="0" w:color="auto"/>
        <w:bottom w:val="none" w:sz="0" w:space="0" w:color="auto"/>
        <w:right w:val="none" w:sz="0" w:space="0" w:color="auto"/>
      </w:divBdr>
    </w:div>
    <w:div w:id="1423212447">
      <w:bodyDiv w:val="1"/>
      <w:marLeft w:val="0"/>
      <w:marRight w:val="0"/>
      <w:marTop w:val="0"/>
      <w:marBottom w:val="0"/>
      <w:divBdr>
        <w:top w:val="none" w:sz="0" w:space="0" w:color="auto"/>
        <w:left w:val="none" w:sz="0" w:space="0" w:color="auto"/>
        <w:bottom w:val="none" w:sz="0" w:space="0" w:color="auto"/>
        <w:right w:val="none" w:sz="0" w:space="0" w:color="auto"/>
      </w:divBdr>
      <w:divsChild>
        <w:div w:id="1337733322">
          <w:marLeft w:val="-720"/>
          <w:marRight w:val="0"/>
          <w:marTop w:val="0"/>
          <w:marBottom w:val="0"/>
          <w:divBdr>
            <w:top w:val="none" w:sz="0" w:space="0" w:color="auto"/>
            <w:left w:val="none" w:sz="0" w:space="0" w:color="auto"/>
            <w:bottom w:val="none" w:sz="0" w:space="0" w:color="auto"/>
            <w:right w:val="none" w:sz="0" w:space="0" w:color="auto"/>
          </w:divBdr>
        </w:div>
      </w:divsChild>
    </w:div>
    <w:div w:id="1455631881">
      <w:bodyDiv w:val="1"/>
      <w:marLeft w:val="0"/>
      <w:marRight w:val="0"/>
      <w:marTop w:val="0"/>
      <w:marBottom w:val="0"/>
      <w:divBdr>
        <w:top w:val="none" w:sz="0" w:space="0" w:color="auto"/>
        <w:left w:val="none" w:sz="0" w:space="0" w:color="auto"/>
        <w:bottom w:val="none" w:sz="0" w:space="0" w:color="auto"/>
        <w:right w:val="none" w:sz="0" w:space="0" w:color="auto"/>
      </w:divBdr>
      <w:divsChild>
        <w:div w:id="1488009165">
          <w:marLeft w:val="-720"/>
          <w:marRight w:val="0"/>
          <w:marTop w:val="0"/>
          <w:marBottom w:val="0"/>
          <w:divBdr>
            <w:top w:val="none" w:sz="0" w:space="0" w:color="auto"/>
            <w:left w:val="none" w:sz="0" w:space="0" w:color="auto"/>
            <w:bottom w:val="none" w:sz="0" w:space="0" w:color="auto"/>
            <w:right w:val="none" w:sz="0" w:space="0" w:color="auto"/>
          </w:divBdr>
        </w:div>
      </w:divsChild>
    </w:div>
    <w:div w:id="1468624771">
      <w:bodyDiv w:val="1"/>
      <w:marLeft w:val="0"/>
      <w:marRight w:val="0"/>
      <w:marTop w:val="0"/>
      <w:marBottom w:val="0"/>
      <w:divBdr>
        <w:top w:val="none" w:sz="0" w:space="0" w:color="auto"/>
        <w:left w:val="none" w:sz="0" w:space="0" w:color="auto"/>
        <w:bottom w:val="none" w:sz="0" w:space="0" w:color="auto"/>
        <w:right w:val="none" w:sz="0" w:space="0" w:color="auto"/>
      </w:divBdr>
    </w:div>
    <w:div w:id="1659648519">
      <w:bodyDiv w:val="1"/>
      <w:marLeft w:val="0"/>
      <w:marRight w:val="0"/>
      <w:marTop w:val="0"/>
      <w:marBottom w:val="0"/>
      <w:divBdr>
        <w:top w:val="none" w:sz="0" w:space="0" w:color="auto"/>
        <w:left w:val="none" w:sz="0" w:space="0" w:color="auto"/>
        <w:bottom w:val="none" w:sz="0" w:space="0" w:color="auto"/>
        <w:right w:val="none" w:sz="0" w:space="0" w:color="auto"/>
      </w:divBdr>
    </w:div>
    <w:div w:id="1831484326">
      <w:bodyDiv w:val="1"/>
      <w:marLeft w:val="0"/>
      <w:marRight w:val="0"/>
      <w:marTop w:val="0"/>
      <w:marBottom w:val="0"/>
      <w:divBdr>
        <w:top w:val="none" w:sz="0" w:space="0" w:color="auto"/>
        <w:left w:val="none" w:sz="0" w:space="0" w:color="auto"/>
        <w:bottom w:val="none" w:sz="0" w:space="0" w:color="auto"/>
        <w:right w:val="none" w:sz="0" w:space="0" w:color="auto"/>
      </w:divBdr>
    </w:div>
    <w:div w:id="1888057213">
      <w:bodyDiv w:val="1"/>
      <w:marLeft w:val="0"/>
      <w:marRight w:val="0"/>
      <w:marTop w:val="0"/>
      <w:marBottom w:val="0"/>
      <w:divBdr>
        <w:top w:val="none" w:sz="0" w:space="0" w:color="auto"/>
        <w:left w:val="none" w:sz="0" w:space="0" w:color="auto"/>
        <w:bottom w:val="none" w:sz="0" w:space="0" w:color="auto"/>
        <w:right w:val="none" w:sz="0" w:space="0" w:color="auto"/>
      </w:divBdr>
    </w:div>
    <w:div w:id="1933204433">
      <w:bodyDiv w:val="1"/>
      <w:marLeft w:val="0"/>
      <w:marRight w:val="0"/>
      <w:marTop w:val="0"/>
      <w:marBottom w:val="0"/>
      <w:divBdr>
        <w:top w:val="none" w:sz="0" w:space="0" w:color="auto"/>
        <w:left w:val="none" w:sz="0" w:space="0" w:color="auto"/>
        <w:bottom w:val="none" w:sz="0" w:space="0" w:color="auto"/>
        <w:right w:val="none" w:sz="0" w:space="0" w:color="auto"/>
      </w:divBdr>
      <w:divsChild>
        <w:div w:id="309402349">
          <w:marLeft w:val="-720"/>
          <w:marRight w:val="0"/>
          <w:marTop w:val="0"/>
          <w:marBottom w:val="0"/>
          <w:divBdr>
            <w:top w:val="none" w:sz="0" w:space="0" w:color="auto"/>
            <w:left w:val="none" w:sz="0" w:space="0" w:color="auto"/>
            <w:bottom w:val="none" w:sz="0" w:space="0" w:color="auto"/>
            <w:right w:val="none" w:sz="0" w:space="0" w:color="auto"/>
          </w:divBdr>
        </w:div>
      </w:divsChild>
    </w:div>
    <w:div w:id="1963995588">
      <w:bodyDiv w:val="1"/>
      <w:marLeft w:val="0"/>
      <w:marRight w:val="0"/>
      <w:marTop w:val="0"/>
      <w:marBottom w:val="0"/>
      <w:divBdr>
        <w:top w:val="none" w:sz="0" w:space="0" w:color="auto"/>
        <w:left w:val="none" w:sz="0" w:space="0" w:color="auto"/>
        <w:bottom w:val="none" w:sz="0" w:space="0" w:color="auto"/>
        <w:right w:val="none" w:sz="0" w:space="0" w:color="auto"/>
      </w:divBdr>
      <w:divsChild>
        <w:div w:id="1499496423">
          <w:marLeft w:val="-720"/>
          <w:marRight w:val="0"/>
          <w:marTop w:val="0"/>
          <w:marBottom w:val="0"/>
          <w:divBdr>
            <w:top w:val="none" w:sz="0" w:space="0" w:color="auto"/>
            <w:left w:val="none" w:sz="0" w:space="0" w:color="auto"/>
            <w:bottom w:val="none" w:sz="0" w:space="0" w:color="auto"/>
            <w:right w:val="none" w:sz="0" w:space="0" w:color="auto"/>
          </w:divBdr>
        </w:div>
      </w:divsChild>
    </w:div>
    <w:div w:id="2130513650">
      <w:bodyDiv w:val="1"/>
      <w:marLeft w:val="0"/>
      <w:marRight w:val="0"/>
      <w:marTop w:val="0"/>
      <w:marBottom w:val="0"/>
      <w:divBdr>
        <w:top w:val="none" w:sz="0" w:space="0" w:color="auto"/>
        <w:left w:val="none" w:sz="0" w:space="0" w:color="auto"/>
        <w:bottom w:val="none" w:sz="0" w:space="0" w:color="auto"/>
        <w:right w:val="none" w:sz="0" w:space="0" w:color="auto"/>
      </w:divBdr>
      <w:divsChild>
        <w:div w:id="133465156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datacenter/definition/What-is-hyper-converged-infrastructure-Guide-to-HCI" TargetMode="External"/><Relationship Id="rId13" Type="http://schemas.openxmlformats.org/officeDocument/2006/relationships/hyperlink" Target="https://www.storagereview.com/review/dell-emc-vxrail-overview"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hyperlink" Target="https://www.dell.com/en-us/dt/converged-infrastructure/vxrail/index.htm"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anandtech.com/show/2480/4" TargetMode="Externa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s://storagepricing.org/category/nutanix/" TargetMode="External"/><Relationship Id="rId5" Type="http://schemas.openxmlformats.org/officeDocument/2006/relationships/image" Target="media/image1.png"/><Relationship Id="rId15" Type="http://schemas.openxmlformats.org/officeDocument/2006/relationships/hyperlink" Target="https://www.itcentralstation.com/products/comparisons/netapp-fas-series_vs_nutanix" TargetMode="External"/><Relationship Id="rId10" Type="http://schemas.openxmlformats.org/officeDocument/2006/relationships/hyperlink" Target="https://www.trustradius.com/reviews/nutanix-acropolis-2016-08-30-12-01-00" TargetMode="External"/><Relationship Id="rId4" Type="http://schemas.openxmlformats.org/officeDocument/2006/relationships/hyperlink" Target="https://github.com/Kdeshun/CST-221-WEEK-7" TargetMode="External"/><Relationship Id="rId9" Type="http://schemas.openxmlformats.org/officeDocument/2006/relationships/hyperlink" Target="https://www.nutanix.com/hyperconverged-infrastructure" TargetMode="External"/><Relationship Id="rId14" Type="http://schemas.openxmlformats.org/officeDocument/2006/relationships/hyperlink" Target="https://www.peerspot.com/products/comparisons/cisco-hyperflex-hx-series-eol_vs_springpath-e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12</Pages>
  <Words>1473</Words>
  <Characters>9822</Characters>
  <Application>Microsoft Office Word</Application>
  <DocSecurity>0</DocSecurity>
  <Lines>186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Kaya Nelson</dc:creator>
  <cp:keywords/>
  <dc:description/>
  <cp:lastModifiedBy>Kaya Nelson</cp:lastModifiedBy>
  <cp:revision>5</cp:revision>
  <dcterms:created xsi:type="dcterms:W3CDTF">2024-06-17T23:39:00Z</dcterms:created>
  <dcterms:modified xsi:type="dcterms:W3CDTF">2024-06-18T03:09:00Z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b774c126-697c-4aa2-b4f7-49e9d1280740</vt:lpwstr>
  </property>
</Properties>
</file>