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Highlights</w:t>
      </w:r>
    </w:p>
    <w:p>
      <w:pPr>
        <w:pStyle w:val="ListBullet"/>
      </w:pPr>
      <w:r>
        <w:t>FQL-GTA beats classical FQL across 30 seeds (d=2.51).</w:t>
      </w:r>
    </w:p>
    <w:p>
      <w:pPr>
        <w:pStyle w:val="ListBullet"/>
      </w:pPr>
      <w:r>
        <w:t>Factorial analysis: significant 2-way interactions, no 3-way synergy.</w:t>
      </w:r>
    </w:p>
    <w:p>
      <w:pPr>
        <w:pStyle w:val="ListBullet"/>
      </w:pPr>
      <w:r>
        <w:t>Zero-shot hyperparameter transfer to new environments is weak; retuning fixes it.</w:t>
      </w:r>
    </w:p>
    <w:p>
      <w:pPr>
        <w:pStyle w:val="ListBullet"/>
      </w:pPr>
      <w:r>
        <w:t>FQL-GTA uses ~14x fewer parameters than PPO for a modest return trade-off.</w:t>
      </w:r>
    </w:p>
    <w:p>
      <w:pPr>
        <w:pStyle w:val="ListBullet"/>
      </w:pPr>
      <w:r>
        <w:t>Five real agent decisions traced rule-by-rule for concrete interpretability.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