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Critical Analysis of the Selected Research Paper</w:t>
      </w:r>
    </w:p>
    <w:p>
      <w:pPr>
        <w:jc w:val="center"/>
      </w:pPr>
      <w:r>
        <w:rPr>
          <w:i/>
        </w:rPr>
        <w:t>Fuzzy Inference System Learning by Reinforcement Methods (Jouffe, 1998)</w:t>
      </w:r>
    </w:p>
    <w:p>
      <w:pPr>
        <w:jc w:val="center"/>
      </w:pPr>
      <w:r>
        <w:t>Karthikeyan K  |  MS in Artificial Intelligence &amp; Machine Learning, REVA University  |  Advisor: Dr. J. B. Simha</w:t>
      </w:r>
    </w:p>
    <w:p>
      <w:pPr>
        <w:pStyle w:val="Heading1"/>
      </w:pPr>
      <w:r>
        <w:t>1. Paper Identification</w:t>
      </w:r>
    </w:p>
    <w:p>
      <w:pPr>
        <w:spacing w:after="160"/>
      </w:pPr>
      <w:r>
        <w:t>Jouffe, L. (1998). Fuzzy inference system learning by reinforcement methods. IEEE Transactions on Systems, Man, and Cybernetics -- Part C: Applications and Reviews, 28(3), 338-355. DOI: 10.1109/5326.704563.</w:t>
      </w:r>
    </w:p>
    <w:p>
      <w:pPr>
        <w:pStyle w:val="Heading1"/>
      </w:pPr>
      <w:r>
        <w:t>2. Problem the Paper Addresses</w:t>
      </w:r>
    </w:p>
    <w:p>
      <w:pPr>
        <w:spacing w:after="160"/>
      </w:pPr>
      <w:r>
        <w:t>Classical reinforcement learning methods such as Q-learning assume a discrete, enumerable set of states. Real control problems are continuous, so a tabular value function is either impossible or prohibitively large. The paper addresses how to learn a control policy by reinforcement when the state space is continuous, while keeping the learned controller interpretable. The proposed answer is to use a fuzzy inference system as the structure that both discretises the state softly and stores the learned action values.</w:t>
      </w:r>
    </w:p>
    <w:p>
      <w:pPr>
        <w:pStyle w:val="Heading1"/>
      </w:pPr>
      <w:r>
        <w:t>3. Methodology of the Original Work (as Understood)</w:t>
      </w:r>
    </w:p>
    <w:p>
      <w:pPr>
        <w:spacing w:after="160"/>
      </w:pPr>
      <w:r>
        <w:t>The state space is partitioned by fuzzy sets defined along each input dimension. Combining the sets across dimensions produces a rule base; each rule carries a set of competing candidate actions together with a quality value for each. Given an observed state, the degree to which each rule is active (its firing strength) is computed by a t-norm across the membership degrees of the participating fuzzy sets. Rather than selecting a single active state, the method blends the active rules: an action is chosen per rule, and the global action is inferred from the firing-strength-weighted contributions of the rules.</w:t>
      </w:r>
    </w:p>
    <w:p>
      <w:pPr>
        <w:spacing w:after="160"/>
      </w:pPr>
      <w:r>
        <w:t>Learning proceeds by temporal-difference reinforcement. After a transition, the method forms an estimate of the value of the current situation and compares it with the reward obtained plus the discounted value of the next situation. The resulting temporal-difference error is used to adjust the quality values of the rules that were responsible for the chosen action, in proportion to how strongly each rule fired. Exploration is handled by occasionally trying non-greedy candidate actions so that the quality estimates are not trapped in an early local preference. The pole-balancing (cart-pole) task is used as a representative continuous-control demonstration.</w:t>
      </w:r>
    </w:p>
    <w:p>
      <w:pPr>
        <w:pStyle w:val="Heading1"/>
      </w:pPr>
      <w:r>
        <w:t>4. Strengths of the Original Work</w:t>
      </w:r>
    </w:p>
    <w:p>
      <w:pPr>
        <w:pStyle w:val="ListBullet"/>
      </w:pPr>
      <w:r>
        <w:t>Interpretability. The learned controller remains a set of linguistic fuzzy rules that a domain engineer can read and audit -- a decisive advantage over opaque function approximators.</w:t>
      </w:r>
    </w:p>
    <w:p>
      <w:pPr>
        <w:pStyle w:val="ListBullet"/>
      </w:pPr>
      <w:r>
        <w:t>Continuous-state capability. The fuzzy partition allows reinforcement learning to operate on continuous inputs without a hand-crafted discrete grid, while the soft membership gives graceful generalisation between neighbouring situations.</w:t>
      </w:r>
    </w:p>
    <w:p>
      <w:pPr>
        <w:pStyle w:val="ListBullet"/>
      </w:pPr>
      <w:r>
        <w:t>Simplicity and low cost. The update is a lightweight linear adjustment of rule parameters, with no gradient back-propagation through a deep network, making it fast and stable on modest hardware.</w:t>
      </w:r>
    </w:p>
    <w:p>
      <w:pPr>
        <w:pStyle w:val="Heading1"/>
      </w:pPr>
      <w:r>
        <w:t>5. Limitations Identified (the Basis for the Extension)</w:t>
      </w:r>
    </w:p>
    <w:p>
      <w:pPr>
        <w:spacing w:after="160"/>
      </w:pPr>
      <w:r>
        <w:t>Three limitations of the original formulation are the specific focus of the extension proposed in this submission (see Manuscript/FQL-GTA_Final_Manuscript.docx for the full treatment):</w:t>
      </w:r>
    </w:p>
    <w:p>
      <w:pPr>
        <w:pStyle w:val="ListBullet"/>
      </w:pPr>
      <w:r>
        <w:t>Triangular membership functions are piecewise-linear and non-differentiable at their vertices; adjacent rules hand off activation abruptly rather than blending smoothly, which coarsens the effective resolution of the state representation near rule boundaries.</w:t>
      </w:r>
    </w:p>
    <w:p>
      <w:pPr>
        <w:pStyle w:val="ListBullet"/>
      </w:pPr>
      <w:r>
        <w:t>The one-step temporal-difference update credits only the single most recent state-action pair on every step. A reward realised several steps after the decision that caused it propagates back one step at a time, which is slow when the credit-assignment path is long, as it often is in balancing-type control tasks.</w:t>
      </w:r>
    </w:p>
    <w:p>
      <w:pPr>
        <w:pStyle w:val="ListBullet"/>
      </w:pPr>
      <w:r>
        <w:t>A fixed exploration rate held constant for the whole run over-explores late in training, once the agent already has a reasonable policy, and under-explores early, when the rule base is still essentially uninformed.</w:t>
      </w:r>
    </w:p>
    <w:p>
      <w:pPr>
        <w:pStyle w:val="Heading1"/>
      </w:pPr>
      <w:r>
        <w:t>6. Proposed Extension and How It Addresses Each Limitation</w:t>
      </w:r>
    </w:p>
    <w:p>
      <w:pPr>
        <w:spacing w:after="160"/>
      </w:pPr>
      <w:r>
        <w:t>The extension, termed FQL-GTA, replaces each of the three elements above with a principled alternative -- Gaussian membership functions, Watkins' Q(lambda) eligibility traces, and an adaptive epsilon schedule -- while holding rule resolution and the discount factor identical. The two agents' learning rates differ by frozen configuration (baseline 0.3, FQL-GTA 0.2); a dedicated sensitivity sweep (manuscript Section 6.1) confirms this does not drive the primary comparison's result.</w:t>
      </w:r>
    </w:p>
    <w:p>
      <w:pPr>
        <w:spacing w:after="160"/>
      </w:pPr>
      <w:r>
        <w:t>The comparative study confirms the expected effects: on CartPole-v1 across 30 independent seeds, the extension raised the mean final trailing-window return by 59.2% (265.7 to 423.1), improved area-under-the-learning-curve by 148.3%, and lifted the strict solve rate (trailing-50 mean still above threshold at episode 500) from 0% to 40%, confirmed by a paired Wilcoxon signed-rank test (p = 3.54e-08, Cohen's d = 2.51), while the interpretable fuzzy rule base was preserved. A full 2-cubed factorial ablation further shows no single component reaches the solve threshold alone, with significant two-way interactions between Gaussian membership functions and eligibility traces and between Gaussian membership functions and adaptive exploration, with no significant three-way interaction -- so the gain is not attributable to any single component.</w:t>
      </w:r>
    </w:p>
    <w:p>
      <w:pPr>
        <w:pStyle w:val="Heading1"/>
      </w:pPr>
      <w:r>
        <w:t>7. Relation to Recent Literature</w:t>
      </w:r>
    </w:p>
    <w:p>
      <w:pPr>
        <w:spacing w:after="160"/>
      </w:pPr>
      <w:r>
        <w:t>The chosen direction is consistent with, but distinct from, recent fuzzy-RL research. Neuro-fuzzy controllers have been trained with deep value methods and, more recently, with policy-gradient algorithms; interpretable-control studies have generated compact fuzzy controllers from batch data; and fuzzy-evaluated reinforcement models have been applied to fault forecasting for maintenance. Whereas those lines replace or wrap the fuzzy system with heavier machinery, the present extension strengthens the classical tabular-fuzzy agent itself with three lightweight modifications, keeping it interpretable and inexpensive -- an appropriate and defensible scope for a focused reproduction-and-improvement study, evaluated here with the statistical rigour (30 seeds, full factorial ablation, formal cross-environment transfer study) a journal submission requires.</w:t>
      </w:r>
    </w:p>
    <w:p>
      <w:pPr>
        <w:pStyle w:val="Heading1"/>
      </w:pPr>
      <w:r>
        <w:t>8. Conclusion of the Analysis</w:t>
      </w:r>
    </w:p>
    <w:p>
      <w:pPr>
        <w:spacing w:after="160"/>
      </w:pPr>
      <w:r>
        <w:t>The selected paper is a sound, foundational contribution whose methodology is well understood and faithfully reproduced in this work. Its three principal limitations are clearly identifiable and individually addressable, which makes it an excellent basis for a meaningful, novel-yet-tractable extension. The experimental comparison demonstrates that the proposed enhancements deliver substantial, statistically validated gains without sacrificing the interpretability that motivates fuzzy reinforcement learning in the first place -- while a full factorial ablation and a formal cross-environment transfer study also report, honestly, where the evidence is weaker (the ablation's pairwise comparisons are underpowered at 3 seeds per condition; zero-shot hyperparameter transfer to new environments is weak).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