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882CC2" w:rsidRPr="00882CC2" w:rsidRDefault="00882CC2" w:rsidP="00882CC2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b/>
          <w:color w:val="05192D"/>
          <w:sz w:val="36"/>
        </w:rPr>
      </w:pPr>
      <w:proofErr w:type="spellStart"/>
      <w:r w:rsidRPr="00882CC2">
        <w:rPr>
          <w:rFonts w:ascii="Arial" w:hAnsi="Arial" w:cs="Arial"/>
          <w:b/>
          <w:color w:val="05192D"/>
          <w:sz w:val="36"/>
        </w:rPr>
        <w:t>Getting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Started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with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Tableau</w:t>
      </w:r>
      <w:proofErr w:type="spellEnd"/>
    </w:p>
    <w:p w:rsidR="00882CC2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understanding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Tableau's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fundamental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features</w:t>
      </w:r>
      <w:proofErr w:type="spellEnd"/>
      <w:r>
        <w:rPr>
          <w:rFonts w:ascii="Arial" w:hAnsi="Arial" w:cs="Arial"/>
          <w:color w:val="05192D"/>
        </w:rPr>
        <w:t xml:space="preserve">: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connect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drag-and-drop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interface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compelling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Airbnb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city</w:t>
      </w:r>
      <w:proofErr w:type="spellEnd"/>
      <w:r>
        <w:rPr>
          <w:rFonts w:ascii="Arial" w:hAnsi="Arial" w:cs="Arial"/>
          <w:color w:val="05192D"/>
        </w:rPr>
        <w:t xml:space="preserve"> of Amsterdam.</w:t>
      </w:r>
    </w:p>
    <w:p w:rsidR="00714224" w:rsidRDefault="00714224" w:rsidP="00714224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Connecting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 [verilere bağlanma]</w:t>
      </w:r>
    </w:p>
    <w:p w:rsidR="00D45483" w:rsidRDefault="00D45483" w:rsidP="00D4548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D45483">
        <w:rPr>
          <w:rFonts w:ascii="Arial" w:hAnsi="Arial" w:cs="Arial"/>
          <w:color w:val="05192D"/>
        </w:rPr>
        <w:drawing>
          <wp:inline distT="0" distB="0" distL="0" distR="0" wp14:anchorId="65FEBE63" wp14:editId="443053B7">
            <wp:extent cx="3974930" cy="2240280"/>
            <wp:effectExtent l="0" t="0" r="6985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069" cy="224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C" w:rsidRDefault="00714224" w:rsidP="0071422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D45483">
        <w:rPr>
          <w:rFonts w:ascii="Arial" w:hAnsi="Arial" w:cs="Arial"/>
          <w:color w:val="05192D"/>
          <w:highlight w:val="yellow"/>
        </w:rPr>
        <w:t>When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opening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land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Start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Page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</w:t>
      </w:r>
      <w:proofErr w:type="spellStart"/>
      <w:r>
        <w:rPr>
          <w:rFonts w:ascii="Arial" w:hAnsi="Arial" w:cs="Arial"/>
          <w:color w:val="05192D"/>
        </w:rPr>
        <w:t>Tableau'yu</w:t>
      </w:r>
      <w:proofErr w:type="spellEnd"/>
      <w:r>
        <w:rPr>
          <w:rFonts w:ascii="Arial" w:hAnsi="Arial" w:cs="Arial"/>
          <w:color w:val="05192D"/>
        </w:rPr>
        <w:t xml:space="preserve"> açarken Başlangıç ​​Sayfasına gelirsiniz.] 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Before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creating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any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visualization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need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have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some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D45483">
        <w:rPr>
          <w:rFonts w:ascii="Arial" w:hAnsi="Arial" w:cs="Arial"/>
          <w:color w:val="05192D"/>
          <w:highlight w:val="yellow"/>
        </w:rPr>
        <w:t>data</w:t>
      </w:r>
      <w:proofErr w:type="gram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available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[Herhangi bir görselleştirme oluşturmadan önce, bazı verilere sahip olmanız gerekir.]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connect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kullanarak veri kaynaklarına nasıl bağlanılacağını görelim.] </w:t>
      </w:r>
    </w:p>
    <w:p w:rsidR="000819FC" w:rsidRDefault="000819FC" w:rsidP="000819F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0819FC">
        <w:rPr>
          <w:rFonts w:ascii="Arial" w:hAnsi="Arial" w:cs="Arial"/>
          <w:color w:val="05192D"/>
        </w:rPr>
        <w:lastRenderedPageBreak/>
        <w:drawing>
          <wp:inline distT="0" distB="0" distL="0" distR="0" wp14:anchorId="7C730FD6" wp14:editId="21BD6D28">
            <wp:extent cx="2339340" cy="2857500"/>
            <wp:effectExtent l="0" t="0" r="381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688" cy="28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C" w:rsidRDefault="00714224" w:rsidP="0071422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D45483">
        <w:rPr>
          <w:rFonts w:ascii="Arial" w:hAnsi="Arial" w:cs="Arial"/>
          <w:color w:val="05192D"/>
          <w:highlight w:val="yellow"/>
        </w:rPr>
        <w:t>There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are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many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D45483">
        <w:rPr>
          <w:rFonts w:ascii="Arial" w:hAnsi="Arial" w:cs="Arial"/>
          <w:color w:val="05192D"/>
          <w:highlight w:val="yellow"/>
        </w:rPr>
        <w:t>data</w:t>
      </w:r>
      <w:proofErr w:type="gram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sources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connect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with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>:</w:t>
      </w:r>
      <w:r>
        <w:rPr>
          <w:rFonts w:ascii="Arial" w:hAnsi="Arial" w:cs="Arial"/>
          <w:color w:val="05192D"/>
        </w:rPr>
        <w:t xml:space="preserve"> here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left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sources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available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Public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ile bağlanabileceğiniz birçok veri kaynağı vardır: burada solda,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Public</w:t>
      </w:r>
      <w:proofErr w:type="spellEnd"/>
      <w:r>
        <w:rPr>
          <w:rFonts w:ascii="Arial" w:hAnsi="Arial" w:cs="Arial"/>
          <w:color w:val="05192D"/>
        </w:rPr>
        <w:t xml:space="preserve"> ile kullanılabilen veri kaynaklarını görebilirsiniz.] 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professional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version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has a </w:t>
      </w:r>
      <w:proofErr w:type="gramStart"/>
      <w:r w:rsidRPr="00D45483">
        <w:rPr>
          <w:rFonts w:ascii="Arial" w:hAnsi="Arial" w:cs="Arial"/>
          <w:color w:val="05192D"/>
          <w:highlight w:val="yellow"/>
        </w:rPr>
        <w:t>lot</w:t>
      </w:r>
      <w:proofErr w:type="gram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more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sources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</w:t>
      </w:r>
      <w:proofErr w:type="spellStart"/>
      <w:r>
        <w:rPr>
          <w:rFonts w:ascii="Arial" w:hAnsi="Arial" w:cs="Arial"/>
          <w:color w:val="05192D"/>
        </w:rPr>
        <w:t>Tableau'nun</w:t>
      </w:r>
      <w:proofErr w:type="spellEnd"/>
      <w:r>
        <w:rPr>
          <w:rFonts w:ascii="Arial" w:hAnsi="Arial" w:cs="Arial"/>
          <w:color w:val="05192D"/>
        </w:rPr>
        <w:t xml:space="preserve"> profesyonel </w:t>
      </w:r>
      <w:proofErr w:type="gramStart"/>
      <w:r>
        <w:rPr>
          <w:rFonts w:ascii="Arial" w:hAnsi="Arial" w:cs="Arial"/>
          <w:color w:val="05192D"/>
        </w:rPr>
        <w:t>versiyonu</w:t>
      </w:r>
      <w:proofErr w:type="gramEnd"/>
      <w:r>
        <w:rPr>
          <w:rFonts w:ascii="Arial" w:hAnsi="Arial" w:cs="Arial"/>
          <w:color w:val="05192D"/>
        </w:rPr>
        <w:t xml:space="preserve"> çok daha fazla veri kaynağına sahiptir.] </w:t>
      </w:r>
      <w:proofErr w:type="spellStart"/>
      <w:r>
        <w:rPr>
          <w:rFonts w:ascii="Arial" w:hAnsi="Arial" w:cs="Arial"/>
          <w:color w:val="05192D"/>
        </w:rPr>
        <w:t>Throughout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CSV </w:t>
      </w:r>
      <w:proofErr w:type="spellStart"/>
      <w:r>
        <w:rPr>
          <w:rFonts w:ascii="Arial" w:hAnsi="Arial" w:cs="Arial"/>
          <w:color w:val="05192D"/>
        </w:rPr>
        <w:t>files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connect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those</w:t>
      </w:r>
      <w:proofErr w:type="spellEnd"/>
      <w:r>
        <w:rPr>
          <w:rFonts w:ascii="Arial" w:hAnsi="Arial" w:cs="Arial"/>
          <w:color w:val="05192D"/>
        </w:rPr>
        <w:t>. [Bu kurs boyunca CSV dosyalarını kullanacağız, bu yüzden bunlara nasıl bağlanacağımızı görelim.] </w:t>
      </w:r>
    </w:p>
    <w:p w:rsidR="000819FC" w:rsidRDefault="000819FC" w:rsidP="000819F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0819FC">
        <w:rPr>
          <w:rFonts w:ascii="Arial" w:hAnsi="Arial" w:cs="Arial"/>
          <w:color w:val="05192D"/>
        </w:rPr>
        <w:drawing>
          <wp:inline distT="0" distB="0" distL="0" distR="0" wp14:anchorId="3C4B2BEC" wp14:editId="6BF218F8">
            <wp:extent cx="1800476" cy="1057423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C" w:rsidRDefault="00714224" w:rsidP="0071422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D45483">
        <w:rPr>
          <w:rFonts w:ascii="Arial" w:hAnsi="Arial" w:cs="Arial"/>
          <w:color w:val="05192D"/>
          <w:highlight w:val="yellow"/>
        </w:rPr>
        <w:t xml:space="preserve">CSV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means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Comma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Separated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it’s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text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file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where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are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separated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by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commas</w:t>
      </w:r>
      <w:proofErr w:type="spellEnd"/>
      <w:r>
        <w:rPr>
          <w:rFonts w:ascii="Arial" w:hAnsi="Arial" w:cs="Arial"/>
          <w:color w:val="05192D"/>
        </w:rPr>
        <w:t>. [CSV, Virgülle Ayrılmış Değerler anlamına gelir: değerlerin virgülle ayrıldığı bir metin dosyasıdır.] 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click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Text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File here</w:t>
      </w:r>
      <w:r>
        <w:rPr>
          <w:rFonts w:ascii="Arial" w:hAnsi="Arial" w:cs="Arial"/>
          <w:color w:val="05192D"/>
        </w:rPr>
        <w:t>. [O halde buradaki Metin Dosyasına tıklayalım.] </w:t>
      </w:r>
    </w:p>
    <w:p w:rsidR="000819FC" w:rsidRDefault="000819FC" w:rsidP="000819F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0819FC">
        <w:rPr>
          <w:rFonts w:ascii="Arial" w:hAnsi="Arial" w:cs="Arial"/>
          <w:color w:val="05192D"/>
        </w:rPr>
        <w:drawing>
          <wp:inline distT="0" distB="0" distL="0" distR="0" wp14:anchorId="1DE750CD" wp14:editId="369A06C5">
            <wp:extent cx="4525006" cy="1571844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C" w:rsidRDefault="00714224" w:rsidP="0071422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D45483">
        <w:rPr>
          <w:rFonts w:ascii="Arial" w:hAnsi="Arial" w:cs="Arial"/>
          <w:color w:val="05192D"/>
          <w:highlight w:val="yellow"/>
        </w:rPr>
        <w:t>This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takes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our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folder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Desktop</w:t>
      </w:r>
      <w:r>
        <w:rPr>
          <w:rFonts w:ascii="Arial" w:hAnsi="Arial" w:cs="Arial"/>
          <w:color w:val="05192D"/>
        </w:rPr>
        <w:t>. [Bu sizi Masaüstündeki Veri klasörümüze götürür.]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Airbnb</w:t>
      </w:r>
      <w:proofErr w:type="spellEnd"/>
      <w:r>
        <w:rPr>
          <w:rFonts w:ascii="Arial" w:hAnsi="Arial" w:cs="Arial"/>
          <w:color w:val="05192D"/>
        </w:rPr>
        <w:t xml:space="preserve"> San Francisco CSV. [</w:t>
      </w:r>
      <w:proofErr w:type="spellStart"/>
      <w:r>
        <w:rPr>
          <w:rFonts w:ascii="Arial" w:hAnsi="Arial" w:cs="Arial"/>
          <w:color w:val="05192D"/>
        </w:rPr>
        <w:t>Airbnb</w:t>
      </w:r>
      <w:proofErr w:type="spellEnd"/>
      <w:r>
        <w:rPr>
          <w:rFonts w:ascii="Arial" w:hAnsi="Arial" w:cs="Arial"/>
          <w:color w:val="05192D"/>
        </w:rPr>
        <w:t xml:space="preserve"> San Francisco </w:t>
      </w:r>
      <w:proofErr w:type="spellStart"/>
      <w:r>
        <w:rPr>
          <w:rFonts w:ascii="Arial" w:hAnsi="Arial" w:cs="Arial"/>
          <w:color w:val="05192D"/>
        </w:rPr>
        <w:t>CSV'yi</w:t>
      </w:r>
      <w:proofErr w:type="spellEnd"/>
      <w:r>
        <w:rPr>
          <w:rFonts w:ascii="Arial" w:hAnsi="Arial" w:cs="Arial"/>
          <w:color w:val="05192D"/>
        </w:rPr>
        <w:t xml:space="preserve"> açalım.] </w:t>
      </w:r>
    </w:p>
    <w:p w:rsidR="000819FC" w:rsidRDefault="000819FC" w:rsidP="0071422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0819FC" w:rsidRDefault="000819FC" w:rsidP="000819F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0819FC">
        <w:rPr>
          <w:rFonts w:ascii="Arial" w:hAnsi="Arial" w:cs="Arial"/>
          <w:color w:val="05192D"/>
        </w:rPr>
        <w:lastRenderedPageBreak/>
        <w:drawing>
          <wp:inline distT="0" distB="0" distL="0" distR="0" wp14:anchorId="285EC0DE" wp14:editId="7A335455">
            <wp:extent cx="6120130" cy="3172460"/>
            <wp:effectExtent l="0" t="0" r="0" b="889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C" w:rsidRDefault="00714224" w:rsidP="0071422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D45483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redirects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us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Data Source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page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bizi Veri Kaynağı sayfasına yönlendirir.]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preview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. [Artık verilerimizi </w:t>
      </w:r>
      <w:proofErr w:type="spellStart"/>
      <w:r>
        <w:rPr>
          <w:rFonts w:ascii="Arial" w:hAnsi="Arial" w:cs="Arial"/>
          <w:color w:val="05192D"/>
        </w:rPr>
        <w:t>önizleyebiliriz</w:t>
      </w:r>
      <w:proofErr w:type="spellEnd"/>
      <w:r>
        <w:rPr>
          <w:rFonts w:ascii="Arial" w:hAnsi="Arial" w:cs="Arial"/>
          <w:color w:val="05192D"/>
        </w:rPr>
        <w:t>.] 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Airbnb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listing</w:t>
      </w:r>
      <w:proofErr w:type="spellEnd"/>
      <w:r>
        <w:rPr>
          <w:rFonts w:ascii="Arial" w:hAnsi="Arial" w:cs="Arial"/>
          <w:color w:val="05192D"/>
        </w:rPr>
        <w:t xml:space="preserve">. [Her satır farklı bir </w:t>
      </w:r>
      <w:proofErr w:type="spellStart"/>
      <w:r>
        <w:rPr>
          <w:rFonts w:ascii="Arial" w:hAnsi="Arial" w:cs="Arial"/>
          <w:color w:val="05192D"/>
        </w:rPr>
        <w:t>Airbnb</w:t>
      </w:r>
      <w:proofErr w:type="spellEnd"/>
      <w:r>
        <w:rPr>
          <w:rFonts w:ascii="Arial" w:hAnsi="Arial" w:cs="Arial"/>
          <w:color w:val="05192D"/>
        </w:rPr>
        <w:t xml:space="preserve"> listesidir.]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neighborhoods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location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room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price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on. [Mahalleler, konum, oda tipi, fiyat vb. hakkında verilerimiz var.]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name is not ideal,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double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clicking</w:t>
      </w:r>
      <w:proofErr w:type="spellEnd"/>
      <w:r>
        <w:rPr>
          <w:rFonts w:ascii="Arial" w:hAnsi="Arial" w:cs="Arial"/>
          <w:color w:val="05192D"/>
        </w:rPr>
        <w:t xml:space="preserve"> on it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editing</w:t>
      </w:r>
      <w:proofErr w:type="spellEnd"/>
      <w:r>
        <w:rPr>
          <w:rFonts w:ascii="Arial" w:hAnsi="Arial" w:cs="Arial"/>
          <w:color w:val="05192D"/>
        </w:rPr>
        <w:t>. [Bir sütun adı ideal değilse, üzerine çift tıklayıp düzenleyerek değiştirebiliriz.]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name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original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</w:t>
      </w:r>
      <w:proofErr w:type="spellEnd"/>
      <w:r>
        <w:rPr>
          <w:rFonts w:ascii="Arial" w:hAnsi="Arial" w:cs="Arial"/>
          <w:color w:val="05192D"/>
        </w:rPr>
        <w:t>. [Bu, orijinal veri kaynağındaki sütun adını değiştirmez.] 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“</w:t>
      </w:r>
      <w:proofErr w:type="spellStart"/>
      <w:r>
        <w:rPr>
          <w:rFonts w:ascii="Arial" w:hAnsi="Arial" w:cs="Arial"/>
          <w:color w:val="05192D"/>
        </w:rPr>
        <w:t>neighbourhood</w:t>
      </w:r>
      <w:proofErr w:type="spellEnd"/>
      <w:r>
        <w:rPr>
          <w:rFonts w:ascii="Arial" w:hAnsi="Arial" w:cs="Arial"/>
          <w:color w:val="05192D"/>
        </w:rPr>
        <w:t xml:space="preserve">”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US </w:t>
      </w:r>
      <w:proofErr w:type="spellStart"/>
      <w:r>
        <w:rPr>
          <w:rFonts w:ascii="Arial" w:hAnsi="Arial" w:cs="Arial"/>
          <w:color w:val="05192D"/>
        </w:rPr>
        <w:t>spelling</w:t>
      </w:r>
      <w:proofErr w:type="spellEnd"/>
      <w:r>
        <w:rPr>
          <w:rFonts w:ascii="Arial" w:hAnsi="Arial" w:cs="Arial"/>
          <w:color w:val="05192D"/>
        </w:rPr>
        <w:t>. [Öyleyse, ABD yazımını kullanmak için 'mahalleyi' değiştirelim.]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say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actually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prefer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UK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: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revert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button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probably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handy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. [Şimdi, aslında Birleşik </w:t>
      </w:r>
      <w:proofErr w:type="spellStart"/>
      <w:r>
        <w:rPr>
          <w:rFonts w:ascii="Arial" w:hAnsi="Arial" w:cs="Arial"/>
          <w:color w:val="05192D"/>
        </w:rPr>
        <w:t>Krallık'ı</w:t>
      </w:r>
      <w:proofErr w:type="spellEnd"/>
      <w:r>
        <w:rPr>
          <w:rFonts w:ascii="Arial" w:hAnsi="Arial" w:cs="Arial"/>
          <w:color w:val="05192D"/>
        </w:rPr>
        <w:t xml:space="preserve"> tercih ettiğimizi varsayalım: Bu düğmeyi kullanarak, muhtemelen kurs boyunca kullanışlı bulacağınız değişiklikleri geri alabiliriz.]</w:t>
      </w:r>
    </w:p>
    <w:p w:rsidR="000819FC" w:rsidRDefault="000819FC" w:rsidP="000819F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0819FC">
        <w:rPr>
          <w:rFonts w:ascii="Arial" w:hAnsi="Arial" w:cs="Arial"/>
          <w:color w:val="05192D"/>
        </w:rPr>
        <w:drawing>
          <wp:inline distT="0" distB="0" distL="0" distR="0" wp14:anchorId="732ABF78" wp14:editId="4E7B744C">
            <wp:extent cx="6120130" cy="1783080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C" w:rsidRDefault="00714224" w:rsidP="0071422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On top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names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icons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indicate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>. [Sütun adlarının üstünde simgeler veri türünü belirtir.]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sign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, a </w:t>
      </w:r>
      <w:proofErr w:type="spellStart"/>
      <w:r>
        <w:rPr>
          <w:rFonts w:ascii="Arial" w:hAnsi="Arial" w:cs="Arial"/>
          <w:color w:val="05192D"/>
        </w:rPr>
        <w:t>globe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locations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 xml:space="preserve">. [Sayılar için sayı işareti, konumlar için küre veya metin için </w:t>
      </w:r>
      <w:proofErr w:type="spellStart"/>
      <w:r>
        <w:rPr>
          <w:rFonts w:ascii="Arial" w:hAnsi="Arial" w:cs="Arial"/>
          <w:color w:val="05192D"/>
        </w:rPr>
        <w:t>Abc</w:t>
      </w:r>
      <w:proofErr w:type="spellEnd"/>
      <w:r>
        <w:rPr>
          <w:rFonts w:ascii="Arial" w:hAnsi="Arial" w:cs="Arial"/>
          <w:color w:val="05192D"/>
        </w:rPr>
        <w:t xml:space="preserve"> var.] 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pretty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good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guessing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types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, but it can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make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mistakes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and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it's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good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practice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review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types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assigned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türleri tahmin etmede oldukça iyidir, ancak hatalar yapabilir ve atanan türleri gözden geçirmek iyi bir uygulamadır.] 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always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these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types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if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want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by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clicking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down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arrow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that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appears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hover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over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name</w:t>
      </w:r>
      <w:r>
        <w:rPr>
          <w:rFonts w:ascii="Arial" w:hAnsi="Arial" w:cs="Arial"/>
          <w:color w:val="05192D"/>
        </w:rPr>
        <w:t xml:space="preserve">. [Bir sütun adının </w:t>
      </w:r>
      <w:r>
        <w:rPr>
          <w:rFonts w:ascii="Arial" w:hAnsi="Arial" w:cs="Arial"/>
          <w:color w:val="05192D"/>
        </w:rPr>
        <w:lastRenderedPageBreak/>
        <w:t>üzerine geldiğinizde görünen aşağı oka tıklayarak bu türleri istediğiniz zaman değiştirebilirsiniz.] </w:t>
      </w:r>
    </w:p>
    <w:p w:rsidR="000819FC" w:rsidRDefault="000819FC" w:rsidP="000819F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bookmarkStart w:id="0" w:name="_GoBack"/>
      <w:r w:rsidRPr="000819FC">
        <w:rPr>
          <w:rFonts w:ascii="Arial" w:hAnsi="Arial" w:cs="Arial"/>
          <w:color w:val="05192D"/>
        </w:rPr>
        <w:drawing>
          <wp:inline distT="0" distB="0" distL="0" distR="0" wp14:anchorId="3CDD653E" wp14:editId="283A8FAD">
            <wp:extent cx="6120130" cy="91630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4224" w:rsidRDefault="00714224" w:rsidP="0071422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D45483">
        <w:rPr>
          <w:rFonts w:ascii="Arial" w:hAnsi="Arial" w:cs="Arial"/>
          <w:color w:val="05192D"/>
          <w:highlight w:val="yellow"/>
        </w:rPr>
        <w:t>From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here,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also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access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worksheet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talk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;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new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one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;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or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dashboards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and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stories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interface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covered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fourth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. [Bir sonraki derste bahsedeceğimiz çalışma yaprağına da buradan ulaşabilirsiniz; yeni bir tane </w:t>
      </w:r>
      <w:proofErr w:type="gramStart"/>
      <w:r>
        <w:rPr>
          <w:rFonts w:ascii="Arial" w:hAnsi="Arial" w:cs="Arial"/>
          <w:color w:val="05192D"/>
        </w:rPr>
        <w:t>oluşturun;</w:t>
      </w:r>
      <w:proofErr w:type="gramEnd"/>
      <w:r>
        <w:rPr>
          <w:rFonts w:ascii="Arial" w:hAnsi="Arial" w:cs="Arial"/>
          <w:color w:val="05192D"/>
        </w:rPr>
        <w:t xml:space="preserve"> veya farklı bir </w:t>
      </w:r>
      <w:proofErr w:type="spellStart"/>
      <w:r>
        <w:rPr>
          <w:rFonts w:ascii="Arial" w:hAnsi="Arial" w:cs="Arial"/>
          <w:color w:val="05192D"/>
        </w:rPr>
        <w:t>arayüze</w:t>
      </w:r>
      <w:proofErr w:type="spellEnd"/>
      <w:r>
        <w:rPr>
          <w:rFonts w:ascii="Arial" w:hAnsi="Arial" w:cs="Arial"/>
          <w:color w:val="05192D"/>
        </w:rPr>
        <w:t xml:space="preserve"> sahip olan ve dördüncü bölümde ele alınacak olan panolar ve hikayeler oluşturun.] OK,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load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datasets</w:t>
      </w:r>
      <w:proofErr w:type="spellEnd"/>
      <w:r>
        <w:rPr>
          <w:rFonts w:ascii="Arial" w:hAnsi="Arial" w:cs="Arial"/>
          <w:color w:val="05192D"/>
        </w:rPr>
        <w:t xml:space="preserve"> I'm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hot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load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workbooks</w:t>
      </w:r>
      <w:proofErr w:type="spellEnd"/>
      <w:r>
        <w:rPr>
          <w:rFonts w:ascii="Arial" w:hAnsi="Arial" w:cs="Arial"/>
          <w:color w:val="05192D"/>
        </w:rPr>
        <w:t>. [Tamam, artık veri kümelerini nasıl yükleyeceğinizi bildiğinize göre, size yüklenecek çalışma kitaplarını göstereceğim.] 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much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software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really</w:t>
      </w:r>
      <w:proofErr w:type="spellEnd"/>
      <w:r>
        <w:rPr>
          <w:rFonts w:ascii="Arial" w:hAnsi="Arial" w:cs="Arial"/>
          <w:color w:val="05192D"/>
        </w:rPr>
        <w:t>. [Gerçekten herhangi bir yazılımdan çok farklı değil</w:t>
      </w:r>
      <w:r w:rsidRPr="00D45483">
        <w:rPr>
          <w:rFonts w:ascii="Arial" w:hAnsi="Arial" w:cs="Arial"/>
          <w:color w:val="05192D"/>
          <w:highlight w:val="yellow"/>
        </w:rPr>
        <w:t>.] 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load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like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would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load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something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with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Excel</w:t>
      </w:r>
      <w:r>
        <w:rPr>
          <w:rFonts w:ascii="Arial" w:hAnsi="Arial" w:cs="Arial"/>
          <w:color w:val="05192D"/>
        </w:rPr>
        <w:t xml:space="preserve">. [Excel ile bir şey yükler gibi yüklersiniz.] I'm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>. [Size iki yol göstereceğim.] 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first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one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do it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from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directly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click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File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and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Open.</w:t>
      </w:r>
      <w:r>
        <w:rPr>
          <w:rFonts w:ascii="Arial" w:hAnsi="Arial" w:cs="Arial"/>
          <w:color w:val="05192D"/>
        </w:rPr>
        <w:t xml:space="preserve"> [Birincisi, doğrudan </w:t>
      </w:r>
      <w:proofErr w:type="spellStart"/>
      <w:r>
        <w:rPr>
          <w:rFonts w:ascii="Arial" w:hAnsi="Arial" w:cs="Arial"/>
          <w:color w:val="05192D"/>
        </w:rPr>
        <w:t>Tableau'dan</w:t>
      </w:r>
      <w:proofErr w:type="spellEnd"/>
      <w:r>
        <w:rPr>
          <w:rFonts w:ascii="Arial" w:hAnsi="Arial" w:cs="Arial"/>
          <w:color w:val="05192D"/>
        </w:rPr>
        <w:t xml:space="preserve"> yapmaktır: Dosya ve </w:t>
      </w:r>
      <w:proofErr w:type="spellStart"/>
      <w:r>
        <w:rPr>
          <w:rFonts w:ascii="Arial" w:hAnsi="Arial" w:cs="Arial"/>
          <w:color w:val="05192D"/>
        </w:rPr>
        <w:t>Aç'ı</w:t>
      </w:r>
      <w:proofErr w:type="spellEnd"/>
      <w:r>
        <w:rPr>
          <w:rFonts w:ascii="Arial" w:hAnsi="Arial" w:cs="Arial"/>
          <w:color w:val="05192D"/>
        </w:rPr>
        <w:t xml:space="preserve"> tıklarsınız.] 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And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then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directed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directly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Workbooks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folder</w:t>
      </w:r>
      <w:proofErr w:type="spellEnd"/>
      <w:r w:rsidRPr="00D4548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[Ardından doğrudan Çalışma Kitapları klasörüne yönlendirilmelisiniz.] 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If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you're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not,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no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fear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Workbooks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folder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pinned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on top here,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have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easy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access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it.</w:t>
      </w:r>
      <w:r>
        <w:rPr>
          <w:rFonts w:ascii="Arial" w:hAnsi="Arial" w:cs="Arial"/>
          <w:color w:val="05192D"/>
        </w:rPr>
        <w:t> [Değilseniz, korkmanıza gerek yok: Çalışma Kitapları klasörü burada en üste sabitlenmiştir, bu nedenle ona kolayca erişebilmeniz gerekir.] 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your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workbook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here,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and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it's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gonna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load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into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. [Böylece çalışma kitabınızı buradan seçebilirsiniz ve o </w:t>
      </w:r>
      <w:proofErr w:type="spellStart"/>
      <w:r>
        <w:rPr>
          <w:rFonts w:ascii="Arial" w:hAnsi="Arial" w:cs="Arial"/>
          <w:color w:val="05192D"/>
        </w:rPr>
        <w:t>Tableau'ya</w:t>
      </w:r>
      <w:proofErr w:type="spellEnd"/>
      <w:r>
        <w:rPr>
          <w:rFonts w:ascii="Arial" w:hAnsi="Arial" w:cs="Arial"/>
          <w:color w:val="05192D"/>
        </w:rPr>
        <w:t xml:space="preserve"> yüklenecektir.] 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access</w:t>
      </w:r>
      <w:proofErr w:type="spellEnd"/>
      <w:r>
        <w:rPr>
          <w:rFonts w:ascii="Arial" w:hAnsi="Arial" w:cs="Arial"/>
          <w:color w:val="05192D"/>
        </w:rPr>
        <w:t xml:space="preserve"> it. [Yani ona erişmenin bir yolu bu.] 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other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way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actually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go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your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Desktop</w:t>
      </w:r>
      <w:r>
        <w:rPr>
          <w:rFonts w:ascii="Arial" w:hAnsi="Arial" w:cs="Arial"/>
          <w:color w:val="05192D"/>
        </w:rPr>
        <w:t>. [Diğer yol, aslında Masaüstünüze gitmektir.] </w:t>
      </w:r>
      <w:proofErr w:type="spellStart"/>
      <w:r>
        <w:rPr>
          <w:rFonts w:ascii="Arial" w:hAnsi="Arial" w:cs="Arial"/>
          <w:color w:val="05192D"/>
        </w:rPr>
        <w:t>W</w:t>
      </w:r>
      <w:r w:rsidRPr="00D45483">
        <w:rPr>
          <w:rFonts w:ascii="Arial" w:hAnsi="Arial" w:cs="Arial"/>
          <w:color w:val="05192D"/>
          <w:highlight w:val="yellow"/>
        </w:rPr>
        <w:t>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added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shortcut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Workbooks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folder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so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you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go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there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directly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and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double-click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Workbook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from</w:t>
      </w:r>
      <w:proofErr w:type="spellEnd"/>
      <w:r w:rsidRPr="00D4548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5483">
        <w:rPr>
          <w:rFonts w:ascii="Arial" w:hAnsi="Arial" w:cs="Arial"/>
          <w:color w:val="05192D"/>
          <w:highlight w:val="yellow"/>
        </w:rPr>
        <w:t>there</w:t>
      </w:r>
      <w:proofErr w:type="spellEnd"/>
      <w:r w:rsidRPr="00D4548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[Çalışma Kitapları klasörüne bir </w:t>
      </w:r>
      <w:proofErr w:type="spellStart"/>
      <w:r>
        <w:rPr>
          <w:rFonts w:ascii="Arial" w:hAnsi="Arial" w:cs="Arial"/>
          <w:color w:val="05192D"/>
        </w:rPr>
        <w:t>kısayol</w:t>
      </w:r>
      <w:proofErr w:type="spellEnd"/>
      <w:r>
        <w:rPr>
          <w:rFonts w:ascii="Arial" w:hAnsi="Arial" w:cs="Arial"/>
          <w:color w:val="05192D"/>
        </w:rPr>
        <w:t xml:space="preserve"> ekledik, böylece doğrudan oraya gidebilir ve oradan Çalışma Kitabına çift tıklayabilirsiniz.] 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it. </w:t>
      </w:r>
      <w:proofErr w:type="gramStart"/>
      <w:r>
        <w:rPr>
          <w:rFonts w:ascii="Arial" w:hAnsi="Arial" w:cs="Arial"/>
          <w:color w:val="05192D"/>
        </w:rPr>
        <w:t>[Ve hepsi bu kadar.]</w:t>
      </w:r>
      <w:proofErr w:type="gramEnd"/>
    </w:p>
    <w:p w:rsidR="00714224" w:rsidRDefault="00714224" w:rsidP="00714224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FD6AD7" w:rsidRDefault="00FD6AD7" w:rsidP="00714224">
      <w:pPr>
        <w:pStyle w:val="Balk2"/>
        <w:shd w:val="clear" w:color="auto" w:fill="F7F3EB"/>
        <w:spacing w:before="0"/>
        <w:jc w:val="both"/>
      </w:pPr>
    </w:p>
    <w:sectPr w:rsidR="00FD6AD7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819FC"/>
    <w:rsid w:val="000B74B2"/>
    <w:rsid w:val="00126E94"/>
    <w:rsid w:val="00401556"/>
    <w:rsid w:val="00714224"/>
    <w:rsid w:val="00882CC2"/>
    <w:rsid w:val="008B6F28"/>
    <w:rsid w:val="00D45483"/>
    <w:rsid w:val="00EF0B30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2022-06-21T07:38:00Z</dcterms:created>
  <dcterms:modified xsi:type="dcterms:W3CDTF">2022-06-21T09:09:00Z</dcterms:modified>
</cp:coreProperties>
</file>