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реалізації переходу до запрошення вручну на Java рекомендується використовувати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SignalHandler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за натисканням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(більш вимогливо). Крім спеціальних випадків періоди взаємодії з користувачем мають відбуватися у окремому контексті.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роботі з запрошенням не повинно бути сповіщень, пов’язаних з завершенням компонентів/групи, тільки такі, що є прямими відповідями на запит. Сповіщення про зміну статусу компонентів/групи відкладаються до завершення взаємодії користувачем.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роботі з запрошенням має бути реалізована команда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що виводить поточну інформацію про стан компонента обчислення.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Функції, що призначаються обчисленням, є функціями цілочисельного аргумента, що повертають значення деякого цілочисельного типу або типу з плаваючою комою. Наприклад, для C/C++: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function_g(int x);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Конкретний варіант має бути узгоджений.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варіантах з сокетом компонент обчислення використовує той самий канал для отримання аргументу та передачі значення.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Варіанти на Java з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Future&lt;T&gt;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замовчанням передбачають використання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ExecutorService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перевірку стану об’єкта future. Може також бути використано комбінування об’єктів future (вимагає вищого рівня підготовки).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мультиплексуванням в описах варіантів мається на увазі мультиплексування операцій з каналами передачі значень.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