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i w:val="false"/>
          <w:iCs w:val="false"/>
          <w:color w:val="1F3864"/>
          <w:sz w:val="26"/>
          <w:szCs w:val="26"/>
        </w:rPr>
        <w:t xml:space="preserve">UNIVERSIDAD POLITÉCNICO GRANCOLOMBIANO</w:t>
      </w:r>
    </w:p>
    <w:p>
      <w:pPr>
        <w:spacing w:after="60"/>
        <w:jc w:val="center"/>
      </w:pPr>
      <w:r>
        <w:rPr>
          <w:rFonts w:ascii="Arial" w:cs="Arial" w:eastAsia="Arial" w:hAnsi="Arial"/>
          <w:b w:val="false"/>
          <w:bCs w:val="false"/>
          <w:i w:val="false"/>
          <w:iCs w:val="false"/>
          <w:color w:val="555555"/>
          <w:sz w:val="22"/>
          <w:szCs w:val="22"/>
        </w:rPr>
        <w:t xml:space="preserve">Facultad de Ingeniería</w:t>
      </w:r>
    </w:p>
    <w:p>
      <w:pPr>
        <w:spacing w:after="60"/>
        <w:jc w:val="center"/>
      </w:pPr>
      <w:r>
        <w:rPr>
          <w:rFonts w:ascii="Arial" w:cs="Arial" w:eastAsia="Arial" w:hAnsi="Arial"/>
          <w:b w:val="false"/>
          <w:bCs w:val="false"/>
          <w:i w:val="false"/>
          <w:iCs w:val="false"/>
          <w:color w:val="555555"/>
          <w:sz w:val="22"/>
          <w:szCs w:val="22"/>
        </w:rPr>
        <w:t xml:space="preserve">Ingeniería de Software</w:t>
      </w:r>
    </w:p>
    <w:p>
      <w:pPr>
        <w:spacing w:after="300"/>
        <w:jc w:val="center"/>
      </w:pPr>
      <w:r>
        <w:rPr>
          <w:rFonts w:ascii="Arial" w:cs="Arial" w:eastAsia="Arial" w:hAnsi="Arial"/>
          <w:b w:val="false"/>
          <w:bCs w:val="false"/>
          <w:i w:val="false"/>
          <w:iCs w:val="false"/>
          <w:color w:val="555555"/>
          <w:sz w:val="22"/>
          <w:szCs w:val="22"/>
        </w:rPr>
        <w:t xml:space="preserve">Proyecto de Grado</w:t>
      </w:r>
    </w:p>
    <w:p>
      <w:pPr>
        <w:spacing w:after="80"/>
        <w:jc w:val="center"/>
      </w:pPr>
      <w:r>
        <w:rPr>
          <w:rFonts w:ascii="Arial" w:cs="Arial" w:eastAsia="Arial" w:hAnsi="Arial"/>
          <w:b/>
          <w:bCs/>
          <w:i w:val="false"/>
          <w:iCs w:val="false"/>
          <w:color w:val="1F3864"/>
          <w:sz w:val="30"/>
          <w:szCs w:val="30"/>
        </w:rPr>
        <w:t xml:space="preserve">MARCO TEÓRICO</w:t>
      </w:r>
    </w:p>
    <w:p>
      <w:pPr>
        <w:spacing w:after="60"/>
        <w:jc w:val="center"/>
      </w:pPr>
      <w:r>
        <w:rPr>
          <w:rFonts w:ascii="Arial" w:cs="Arial" w:eastAsia="Arial" w:hAnsi="Arial"/>
          <w:b w:val="false"/>
          <w:bCs w:val="false"/>
          <w:i/>
          <w:iCs/>
          <w:color w:val="2E5C8A"/>
          <w:sz w:val="24"/>
          <w:szCs w:val="24"/>
        </w:rPr>
        <w:t xml:space="preserve">SIGI - Sistema de Gestión de Incapacidades</w:t>
      </w:r>
    </w:p>
    <w:p>
      <w:pPr>
        <w:spacing w:after="300"/>
        <w:jc w:val="center"/>
      </w:pPr>
      <w:r>
        <w:rPr>
          <w:rFonts w:ascii="Arial" w:cs="Arial" w:eastAsia="Arial" w:hAnsi="Arial"/>
          <w:b w:val="false"/>
          <w:bCs w:val="false"/>
          <w:i w:val="false"/>
          <w:iCs w:val="false"/>
          <w:color w:val="555555"/>
          <w:sz w:val="22"/>
          <w:szCs w:val="22"/>
        </w:rPr>
        <w:t xml:space="preserve">José Armando Salamanca</w:t>
      </w:r>
    </w:p>
    <w:p>
      <w:pPr>
        <w:pBdr>
          <w:bottom w:val="single" w:color="1F3864" w:sz="6" w:space="1"/>
        </w:pBdr>
        <w:spacing w:after="300"/>
      </w:pPr>
      <w:r>
        <w:rPr>
          <w:rFonts w:ascii="Arial" w:cs="Arial" w:eastAsia="Arial" w:hAnsi="Arial"/>
          <w:b w:val="false"/>
          <w:bCs w:val="false"/>
          <w:i w:val="false"/>
          <w:iCs w:val="false"/>
          <w:color w:val="000000"/>
          <w:sz w:val="22"/>
          <w:szCs w:val="22"/>
        </w:rPr>
        <w:t xml:space="preserve"/>
      </w:r>
    </w:p>
    <w:p>
      <w:pPr>
        <w:pStyle w:val="Heading1"/>
        <w:spacing w:before="300" w:after="160"/>
      </w:pPr>
      <w:r>
        <w:rPr>
          <w:rFonts w:ascii="Arial" w:cs="Arial" w:eastAsia="Arial" w:hAnsi="Arial"/>
          <w:b/>
          <w:bCs/>
          <w:color w:val="1F3864"/>
          <w:sz w:val="28"/>
          <w:szCs w:val="28"/>
        </w:rPr>
        <w:t xml:space="preserve">1. Antecedentes</w:t>
      </w:r>
    </w:p>
    <w:p>
      <w:pPr>
        <w:spacing w:after="180"/>
        <w:jc w:val="both"/>
      </w:pPr>
      <w:r>
        <w:rPr>
          <w:rFonts w:ascii="Arial" w:cs="Arial" w:eastAsia="Arial" w:hAnsi="Arial"/>
          <w:b w:val="false"/>
          <w:bCs w:val="false"/>
          <w:i w:val="false"/>
          <w:iCs w:val="false"/>
          <w:color w:val="000000"/>
          <w:sz w:val="22"/>
          <w:szCs w:val="22"/>
        </w:rPr>
        <w:t xml:space="preserve">La gestión de incapacidades laborales ha sido históricamente uno de los procesos más complejos dentro de los departamentos de talento humano. En Colombia, con la implementación del Sistema General de Seguridad Social en Salud mediante la Ley 100 de 1993, las empresas asumieron la responsabilidad de gestionar, reportar y en muchos casos cobrar las incapacidades de sus colaboradores ante las Entidades Promotoras de Salud (EPS) y las Administradoras de Riesgos Laborales (ARL).</w:t>
      </w:r>
    </w:p>
    <w:p>
      <w:pPr>
        <w:spacing w:after="180"/>
        <w:jc w:val="both"/>
      </w:pPr>
      <w:r>
        <w:rPr>
          <w:rFonts w:ascii="Arial" w:cs="Arial" w:eastAsia="Arial" w:hAnsi="Arial"/>
          <w:b w:val="false"/>
          <w:bCs w:val="false"/>
          <w:i w:val="false"/>
          <w:iCs w:val="false"/>
          <w:color w:val="000000"/>
          <w:sz w:val="22"/>
          <w:szCs w:val="22"/>
        </w:rPr>
        <w:t xml:space="preserve">Históricamente, este proceso se ha llevado a cabo de forma manual o semi-manual, utilizando hojas de cálculo, carpetas físicas y correos electrónicos. Estudios y diagnósticos realizados en empresas de diversos sectores en Colombia evidencian que la falta de automatización en este proceso genera pérdidas económicas por incapacidades no cobradas a tiempo, errores en los registros y dificultades para el seguimiento del ausentismo laboral.</w:t>
      </w:r>
    </w:p>
    <w:p>
      <w:pPr>
        <w:spacing w:after="180"/>
        <w:jc w:val="both"/>
      </w:pPr>
      <w:r>
        <w:rPr>
          <w:rFonts w:ascii="Arial" w:cs="Arial" w:eastAsia="Arial" w:hAnsi="Arial"/>
          <w:b w:val="false"/>
          <w:bCs w:val="false"/>
          <w:i w:val="false"/>
          <w:iCs w:val="false"/>
          <w:color w:val="000000"/>
          <w:sz w:val="22"/>
          <w:szCs w:val="22"/>
        </w:rPr>
        <w:t xml:space="preserve">En respuesta a esta problemática, han surgido en el mercado soluciones parciales integradas a sistemas ERP como SAP o SIESA, sin embargo, estas herramientas son costosas, complejas de implementar y no siempre adaptables a las necesidades específicas de medianas y pequeñas empresas. SIGI busca cubrir este vacío con una solución accesible, genérica y centrada en el proceso de gestión de incapacidades.</w:t>
      </w:r>
    </w:p>
    <w:p>
      <w:pPr>
        <w:spacing w:after="100"/>
      </w:pPr>
      <w:r>
        <w:rPr>
          <w:rFonts w:ascii="Arial" w:cs="Arial" w:eastAsia="Arial" w:hAnsi="Arial"/>
          <w:b w:val="false"/>
          <w:bCs w:val="false"/>
          <w:i w:val="false"/>
          <w:iCs w:val="false"/>
          <w:color w:val="000000"/>
          <w:sz w:val="22"/>
          <w:szCs w:val="22"/>
        </w:rPr>
        <w:t xml:space="preserve"/>
      </w:r>
    </w:p>
    <w:p>
      <w:pPr>
        <w:pStyle w:val="Heading1"/>
        <w:spacing w:before="300" w:after="160"/>
      </w:pPr>
      <w:r>
        <w:rPr>
          <w:rFonts w:ascii="Arial" w:cs="Arial" w:eastAsia="Arial" w:hAnsi="Arial"/>
          <w:b/>
          <w:bCs/>
          <w:color w:val="1F3864"/>
          <w:sz w:val="28"/>
          <w:szCs w:val="28"/>
        </w:rPr>
        <w:t xml:space="preserve">2. Marco Conceptual</w:t>
      </w:r>
    </w:p>
    <w:p>
      <w:pPr>
        <w:pStyle w:val="Heading2"/>
        <w:spacing w:before="220" w:after="120"/>
      </w:pPr>
      <w:r>
        <w:rPr>
          <w:rFonts w:ascii="Arial" w:cs="Arial" w:eastAsia="Arial" w:hAnsi="Arial"/>
          <w:b/>
          <w:bCs/>
          <w:color w:val="2E5C8A"/>
          <w:sz w:val="24"/>
          <w:szCs w:val="24"/>
        </w:rPr>
        <w:t xml:space="preserve">2.1 Incapacidad Laboral</w:t>
      </w:r>
    </w:p>
    <w:p>
      <w:pPr>
        <w:spacing w:after="180"/>
        <w:jc w:val="both"/>
      </w:pPr>
      <w:r>
        <w:rPr>
          <w:rFonts w:ascii="Arial" w:cs="Arial" w:eastAsia="Arial" w:hAnsi="Arial"/>
          <w:b w:val="false"/>
          <w:bCs w:val="false"/>
          <w:i w:val="false"/>
          <w:iCs w:val="false"/>
          <w:color w:val="000000"/>
          <w:sz w:val="22"/>
          <w:szCs w:val="22"/>
        </w:rPr>
        <w:t xml:space="preserve">Una incapacidad laboral es la imposibilidad temporal de un trabajador para desempeñar sus funciones como consecuencia de una enfermedad o accidente. En Colombia, las incapacidades se clasifican en tres tipos principales según su origen:</w:t>
      </w:r>
    </w:p>
    <w:p>
      <w:pPr>
        <w:spacing w:after="180"/>
        <w:jc w:val="both"/>
      </w:pPr>
      <w:r>
        <w:rPr>
          <w:rFonts w:ascii="Arial" w:cs="Arial" w:eastAsia="Arial" w:hAnsi="Arial"/>
          <w:b/>
          <w:bCs/>
          <w:i w:val="false"/>
          <w:iCs w:val="false"/>
          <w:color w:val="000000"/>
          <w:sz w:val="22"/>
          <w:szCs w:val="22"/>
        </w:rPr>
        <w:t xml:space="preserve">Incapacidad por enfermedad general: </w:t>
      </w:r>
      <w:r>
        <w:rPr>
          <w:rFonts w:ascii="Arial" w:cs="Arial" w:eastAsia="Arial" w:hAnsi="Arial"/>
          <w:b w:val="false"/>
          <w:bCs w:val="false"/>
          <w:i w:val="false"/>
          <w:iCs w:val="false"/>
          <w:color w:val="000000"/>
          <w:sz w:val="22"/>
          <w:szCs w:val="22"/>
        </w:rPr>
        <w:t xml:space="preserve">Es aquella que se origina por una enfermedad o accidente de origen no laboral. Los primeros dos días son pagados por el empleador y a partir del tercer día la EPS asume el pago del subsidio correspondiente.</w:t>
      </w:r>
    </w:p>
    <w:p>
      <w:pPr>
        <w:spacing w:after="180"/>
        <w:jc w:val="both"/>
      </w:pPr>
      <w:r>
        <w:rPr>
          <w:rFonts w:ascii="Arial" w:cs="Arial" w:eastAsia="Arial" w:hAnsi="Arial"/>
          <w:b/>
          <w:bCs/>
          <w:i w:val="false"/>
          <w:iCs w:val="false"/>
          <w:color w:val="000000"/>
          <w:sz w:val="22"/>
          <w:szCs w:val="22"/>
        </w:rPr>
        <w:t xml:space="preserve">Incapacidad por accidente de trabajo o enfermedad laboral: </w:t>
      </w:r>
      <w:r>
        <w:rPr>
          <w:rFonts w:ascii="Arial" w:cs="Arial" w:eastAsia="Arial" w:hAnsi="Arial"/>
          <w:b w:val="false"/>
          <w:bCs w:val="false"/>
          <w:i w:val="false"/>
          <w:iCs w:val="false"/>
          <w:color w:val="000000"/>
          <w:sz w:val="22"/>
          <w:szCs w:val="22"/>
        </w:rPr>
        <w:t xml:space="preserve">Se origina por un accidente ocurrido durante el desempeño de las funciones laborales o por una enfermedad contraída como consecuencia del trabajo. En este caso, la ARL es la entidad responsable del pago.</w:t>
      </w:r>
    </w:p>
    <w:p>
      <w:pPr>
        <w:spacing w:after="180"/>
        <w:jc w:val="both"/>
      </w:pPr>
      <w:r>
        <w:rPr>
          <w:rFonts w:ascii="Arial" w:cs="Arial" w:eastAsia="Arial" w:hAnsi="Arial"/>
          <w:b/>
          <w:bCs/>
          <w:i w:val="false"/>
          <w:iCs w:val="false"/>
          <w:color w:val="000000"/>
          <w:sz w:val="22"/>
          <w:szCs w:val="22"/>
        </w:rPr>
        <w:t xml:space="preserve">Incapacidad por maternidad o paternidad: </w:t>
      </w:r>
      <w:r>
        <w:rPr>
          <w:rFonts w:ascii="Arial" w:cs="Arial" w:eastAsia="Arial" w:hAnsi="Arial"/>
          <w:b w:val="false"/>
          <w:bCs w:val="false"/>
          <w:i w:val="false"/>
          <w:iCs w:val="false"/>
          <w:color w:val="000000"/>
          <w:sz w:val="22"/>
          <w:szCs w:val="22"/>
        </w:rPr>
        <w:t xml:space="preserve">Corresponde a la licencia otorgada a la madre o al padre en el período de gestación y posparto, regulada por la normativa laboral colombiana y pagada por la EPS.</w:t>
      </w:r>
    </w:p>
    <w:p>
      <w:pPr>
        <w:pStyle w:val="Heading2"/>
        <w:spacing w:before="220" w:after="120"/>
      </w:pPr>
      <w:r>
        <w:rPr>
          <w:rFonts w:ascii="Arial" w:cs="Arial" w:eastAsia="Arial" w:hAnsi="Arial"/>
          <w:b/>
          <w:bCs/>
          <w:color w:val="2E5C8A"/>
          <w:sz w:val="24"/>
          <w:szCs w:val="24"/>
        </w:rPr>
        <w:t xml:space="preserve">2.2 Ausentismo Laboral</w:t>
      </w:r>
    </w:p>
    <w:p>
      <w:pPr>
        <w:spacing w:after="180"/>
        <w:jc w:val="both"/>
      </w:pPr>
      <w:r>
        <w:rPr>
          <w:rFonts w:ascii="Arial" w:cs="Arial" w:eastAsia="Arial" w:hAnsi="Arial"/>
          <w:b w:val="false"/>
          <w:bCs w:val="false"/>
          <w:i w:val="false"/>
          <w:iCs w:val="false"/>
          <w:color w:val="000000"/>
          <w:sz w:val="22"/>
          <w:szCs w:val="22"/>
        </w:rPr>
        <w:t xml:space="preserve">El ausentismo laboral se define como la ausencia del trabajador a su puesto de trabajo durante la jornada laboral establecida, ya sea por causas justificadas o injustificadas. La gestión del ausentismo es una función clave del área de talento humano, ya que permite identificar patrones, tomar decisiones preventivas y calcular el impacto económico de las ausencias en la organización.</w:t>
      </w:r>
    </w:p>
    <w:p>
      <w:pPr>
        <w:pStyle w:val="Heading2"/>
        <w:spacing w:before="220" w:after="120"/>
      </w:pPr>
      <w:r>
        <w:rPr>
          <w:rFonts w:ascii="Arial" w:cs="Arial" w:eastAsia="Arial" w:hAnsi="Arial"/>
          <w:b/>
          <w:bCs/>
          <w:color w:val="2E5C8A"/>
          <w:sz w:val="24"/>
          <w:szCs w:val="24"/>
        </w:rPr>
        <w:t xml:space="preserve">2.3 Sistema de Información</w:t>
      </w:r>
    </w:p>
    <w:p>
      <w:pPr>
        <w:spacing w:after="180"/>
        <w:jc w:val="both"/>
      </w:pPr>
      <w:r>
        <w:rPr>
          <w:rFonts w:ascii="Arial" w:cs="Arial" w:eastAsia="Arial" w:hAnsi="Arial"/>
          <w:b w:val="false"/>
          <w:bCs w:val="false"/>
          <w:i w:val="false"/>
          <w:iCs w:val="false"/>
          <w:color w:val="000000"/>
          <w:sz w:val="22"/>
          <w:szCs w:val="22"/>
        </w:rPr>
        <w:t xml:space="preserve">Un sistema de información es un conjunto organizado de datos, personas, procesos y tecnologías que interactúan para recopilar, procesar, almacenar y distribuir información que apoye la toma de decisiones dentro de una organización. En el contexto de SIGI, el sistema de información centraliza todos los datos relacionados con las incapacidades laborales, facilitando su consulta, seguimiento y análisis.</w:t>
      </w:r>
    </w:p>
    <w:p>
      <w:pPr>
        <w:pStyle w:val="Heading2"/>
        <w:spacing w:before="220" w:after="120"/>
      </w:pPr>
      <w:r>
        <w:rPr>
          <w:rFonts w:ascii="Arial" w:cs="Arial" w:eastAsia="Arial" w:hAnsi="Arial"/>
          <w:b/>
          <w:bCs/>
          <w:color w:val="2E5C8A"/>
          <w:sz w:val="24"/>
          <w:szCs w:val="24"/>
        </w:rPr>
        <w:t xml:space="preserve">2.4 Sistema de Gestión de Incapacidades</w:t>
      </w:r>
    </w:p>
    <w:p>
      <w:pPr>
        <w:spacing w:after="180"/>
        <w:jc w:val="both"/>
      </w:pPr>
      <w:r>
        <w:rPr>
          <w:rFonts w:ascii="Arial" w:cs="Arial" w:eastAsia="Arial" w:hAnsi="Arial"/>
          <w:b w:val="false"/>
          <w:bCs w:val="false"/>
          <w:i w:val="false"/>
          <w:iCs w:val="false"/>
          <w:color w:val="000000"/>
          <w:sz w:val="22"/>
          <w:szCs w:val="22"/>
        </w:rPr>
        <w:t xml:space="preserve">Un sistema de gestión de incapacidades es una aplicación de software diseñada para automatizar y centralizar el registro, seguimiento, radicación y consulta de las incapacidades laborales dentro de una organización. Sus funciones principales incluyen el registro de incapacidades con todos sus datos asociados, el seguimiento del estado de cada incapacidad, la generación de reportes de ausentismo y la gestión del cobro ante las entidades de seguridad social.</w:t>
      </w:r>
    </w:p>
    <w:p>
      <w:pPr>
        <w:spacing w:after="100"/>
      </w:pPr>
      <w:r>
        <w:rPr>
          <w:rFonts w:ascii="Arial" w:cs="Arial" w:eastAsia="Arial" w:hAnsi="Arial"/>
          <w:b w:val="false"/>
          <w:bCs w:val="false"/>
          <w:i w:val="false"/>
          <w:iCs w:val="false"/>
          <w:color w:val="000000"/>
          <w:sz w:val="22"/>
          <w:szCs w:val="22"/>
        </w:rPr>
        <w:t xml:space="preserve"/>
      </w:r>
    </w:p>
    <w:p>
      <w:pPr>
        <w:pStyle w:val="Heading1"/>
        <w:spacing w:before="300" w:after="160"/>
      </w:pPr>
      <w:r>
        <w:rPr>
          <w:rFonts w:ascii="Arial" w:cs="Arial" w:eastAsia="Arial" w:hAnsi="Arial"/>
          <w:b/>
          <w:bCs/>
          <w:color w:val="1F3864"/>
          <w:sz w:val="28"/>
          <w:szCs w:val="28"/>
        </w:rPr>
        <w:t xml:space="preserve">3. Marco Tecnológico</w:t>
      </w:r>
    </w:p>
    <w:p>
      <w:pPr>
        <w:pStyle w:val="Heading2"/>
        <w:spacing w:before="220" w:after="120"/>
      </w:pPr>
      <w:r>
        <w:rPr>
          <w:rFonts w:ascii="Arial" w:cs="Arial" w:eastAsia="Arial" w:hAnsi="Arial"/>
          <w:b/>
          <w:bCs/>
          <w:color w:val="2E5C8A"/>
          <w:sz w:val="24"/>
          <w:szCs w:val="24"/>
        </w:rPr>
        <w:t xml:space="preserve">3.1 Python</w:t>
      </w:r>
    </w:p>
    <w:p>
      <w:pPr>
        <w:spacing w:after="180"/>
        <w:jc w:val="both"/>
      </w:pPr>
      <w:r>
        <w:rPr>
          <w:rFonts w:ascii="Arial" w:cs="Arial" w:eastAsia="Arial" w:hAnsi="Arial"/>
          <w:b w:val="false"/>
          <w:bCs w:val="false"/>
          <w:i w:val="false"/>
          <w:iCs w:val="false"/>
          <w:color w:val="000000"/>
          <w:sz w:val="22"/>
          <w:szCs w:val="22"/>
        </w:rPr>
        <w:t xml:space="preserve">Python es un lenguaje de programación de alto nivel, interpretado y de propósito general, ampliamente utilizado en el desarrollo de aplicaciones web, análisis de datos e inteligencia artificial. Su sintaxis clara y legible, junto con su amplia comunidad y ecosistema de librerías, lo convierten en una de las opciones más populares para el desarrollo de software empresarial.</w:t>
      </w:r>
    </w:p>
    <w:p>
      <w:pPr>
        <w:pStyle w:val="Heading2"/>
        <w:spacing w:before="220" w:after="120"/>
      </w:pPr>
      <w:r>
        <w:rPr>
          <w:rFonts w:ascii="Arial" w:cs="Arial" w:eastAsia="Arial" w:hAnsi="Arial"/>
          <w:b/>
          <w:bCs/>
          <w:color w:val="2E5C8A"/>
          <w:sz w:val="24"/>
          <w:szCs w:val="24"/>
        </w:rPr>
        <w:t xml:space="preserve">3.2 Django</w:t>
      </w:r>
    </w:p>
    <w:p>
      <w:pPr>
        <w:spacing w:after="180"/>
        <w:jc w:val="both"/>
      </w:pPr>
      <w:r>
        <w:rPr>
          <w:rFonts w:ascii="Arial" w:cs="Arial" w:eastAsia="Arial" w:hAnsi="Arial"/>
          <w:b w:val="false"/>
          <w:bCs w:val="false"/>
          <w:i w:val="false"/>
          <w:iCs w:val="false"/>
          <w:color w:val="000000"/>
          <w:sz w:val="22"/>
          <w:szCs w:val="22"/>
        </w:rPr>
        <w:t xml:space="preserve">Django es un framework de desarrollo web de alto nivel escrito en Python que fomenta el desarrollo rápido y el diseño limpio y pragmático. Sigue el patrón de arquitectura MTV (Model-Template-View) y ofrece de forma nativa funcionalidades como autenticación de usuarios, administración de bases de datos mediante ORM (Object Relational Mapper), gestión de sesiones y protección contra vulnerabilidades comunes como CSRF y SQL Injection. Para SIGI, Django permitirá desarrollar el backend del sistema de forma robusta y segura.</w:t>
      </w:r>
    </w:p>
    <w:p>
      <w:pPr>
        <w:pStyle w:val="Heading2"/>
        <w:spacing w:before="220" w:after="120"/>
      </w:pPr>
      <w:r>
        <w:rPr>
          <w:rFonts w:ascii="Arial" w:cs="Arial" w:eastAsia="Arial" w:hAnsi="Arial"/>
          <w:b/>
          <w:bCs/>
          <w:color w:val="2E5C8A"/>
          <w:sz w:val="24"/>
          <w:szCs w:val="24"/>
        </w:rPr>
        <w:t xml:space="preserve">3.3 React</w:t>
      </w:r>
    </w:p>
    <w:p>
      <w:pPr>
        <w:spacing w:after="180"/>
        <w:jc w:val="both"/>
      </w:pPr>
      <w:r>
        <w:rPr>
          <w:rFonts w:ascii="Arial" w:cs="Arial" w:eastAsia="Arial" w:hAnsi="Arial"/>
          <w:b w:val="false"/>
          <w:bCs w:val="false"/>
          <w:i w:val="false"/>
          <w:iCs w:val="false"/>
          <w:color w:val="000000"/>
          <w:sz w:val="22"/>
          <w:szCs w:val="22"/>
        </w:rPr>
        <w:t xml:space="preserve">React es una biblioteca de JavaScript desarrollada por Meta (anteriormente Facebook) para la construcción de interfaces de usuario interactivas y dinámicas. Basado en el concepto de componentes reutilizables y el manejo eficiente del DOM mediante un DOM virtual, React permite construir aplicaciones web modernas con una experiencia de usuario fluida. En SIGI, React será utilizado para desarrollar el frontend del sistema, proporcionando una interfaz intuitiva para los usuarios de talento humano y nómina.</w:t>
      </w:r>
    </w:p>
    <w:p>
      <w:pPr>
        <w:pStyle w:val="Heading2"/>
        <w:spacing w:before="220" w:after="120"/>
      </w:pPr>
      <w:r>
        <w:rPr>
          <w:rFonts w:ascii="Arial" w:cs="Arial" w:eastAsia="Arial" w:hAnsi="Arial"/>
          <w:b/>
          <w:bCs/>
          <w:color w:val="2E5C8A"/>
          <w:sz w:val="24"/>
          <w:szCs w:val="24"/>
        </w:rPr>
        <w:t xml:space="preserve">3.4 MySQL</w:t>
      </w:r>
    </w:p>
    <w:p>
      <w:pPr>
        <w:spacing w:after="180"/>
        <w:jc w:val="both"/>
      </w:pPr>
      <w:r>
        <w:rPr>
          <w:rFonts w:ascii="Arial" w:cs="Arial" w:eastAsia="Arial" w:hAnsi="Arial"/>
          <w:b w:val="false"/>
          <w:bCs w:val="false"/>
          <w:i w:val="false"/>
          <w:iCs w:val="false"/>
          <w:color w:val="000000"/>
          <w:sz w:val="22"/>
          <w:szCs w:val="22"/>
        </w:rPr>
        <w:t xml:space="preserve">MySQL es un sistema de gestión de bases de datos relacional (RDBMS) de código abierto, ampliamente utilizado en aplicaciones web y empresariales. Basado en el lenguaje SQL (Structured Query Language), MySQL permite almacenar, organizar y recuperar datos de forma eficiente mediante tablas relacionadas. Para SIGI, MySQL gestionará toda la información relacionada con colaboradores, incapacidades, entidades de salud y usuarios del sistema.</w:t>
      </w:r>
    </w:p>
    <w:p>
      <w:pPr>
        <w:pStyle w:val="Heading2"/>
        <w:spacing w:before="220" w:after="120"/>
      </w:pPr>
      <w:r>
        <w:rPr>
          <w:rFonts w:ascii="Arial" w:cs="Arial" w:eastAsia="Arial" w:hAnsi="Arial"/>
          <w:b/>
          <w:bCs/>
          <w:color w:val="2E5C8A"/>
          <w:sz w:val="24"/>
          <w:szCs w:val="24"/>
        </w:rPr>
        <w:t xml:space="preserve">3.5 API REST</w:t>
      </w:r>
    </w:p>
    <w:p>
      <w:pPr>
        <w:spacing w:after="180"/>
        <w:jc w:val="both"/>
      </w:pPr>
      <w:r>
        <w:rPr>
          <w:rFonts w:ascii="Arial" w:cs="Arial" w:eastAsia="Arial" w:hAnsi="Arial"/>
          <w:b w:val="false"/>
          <w:bCs w:val="false"/>
          <w:i w:val="false"/>
          <w:iCs w:val="false"/>
          <w:color w:val="000000"/>
          <w:sz w:val="22"/>
          <w:szCs w:val="22"/>
        </w:rPr>
        <w:t xml:space="preserve">Una API REST (Representational State Transfer) es un estilo de arquitectura para la comunicación entre sistemas a través del protocolo HTTP. Mediante el uso de métodos estándar como GET, POST, PUT y DELETE, una API REST permite que el frontend (React) y el backend (Django) intercambien datos de forma estructurada y desacoplada. SIGI utilizará Django REST Framework para exponer los servicios del backend como una API REST que el frontend consumirá.</w:t>
      </w:r>
    </w:p>
    <w:p>
      <w:pPr>
        <w:pStyle w:val="Heading2"/>
        <w:spacing w:before="220" w:after="120"/>
      </w:pPr>
      <w:r>
        <w:rPr>
          <w:rFonts w:ascii="Arial" w:cs="Arial" w:eastAsia="Arial" w:hAnsi="Arial"/>
          <w:b/>
          <w:bCs/>
          <w:color w:val="2E5C8A"/>
          <w:sz w:val="24"/>
          <w:szCs w:val="24"/>
        </w:rPr>
        <w:t xml:space="preserve">3.6 Metodología de Desarrollo</w:t>
      </w:r>
    </w:p>
    <w:p>
      <w:pPr>
        <w:spacing w:after="180"/>
        <w:jc w:val="both"/>
      </w:pPr>
      <w:r>
        <w:rPr>
          <w:rFonts w:ascii="Arial" w:cs="Arial" w:eastAsia="Arial" w:hAnsi="Arial"/>
          <w:b w:val="false"/>
          <w:bCs w:val="false"/>
          <w:i w:val="false"/>
          <w:iCs w:val="false"/>
          <w:color w:val="000000"/>
          <w:sz w:val="22"/>
          <w:szCs w:val="22"/>
        </w:rPr>
        <w:t xml:space="preserve">Para el desarrollo de SIGI se adoptará una metodología ágil basada en Scrum, que permite organizar el trabajo en ciclos cortos de desarrollo denominados sprints. Esta metodología favorece la entrega incremental de funcionalidades, la adaptación a cambios en los requerimientos y la colaboración continua entre el desarrollador y los usuarios del sistema. Cada sprint producirá un módulo funcional del sistema que podrá ser revisado y validado.</w:t>
      </w:r>
    </w:p>
    <w:p>
      <w:pPr>
        <w:spacing w:after="100"/>
      </w:pPr>
      <w:r>
        <w:rPr>
          <w:rFonts w:ascii="Arial" w:cs="Arial" w:eastAsia="Arial" w:hAnsi="Arial"/>
          <w:b w:val="false"/>
          <w:bCs w:val="false"/>
          <w:i w:val="false"/>
          <w:iCs w:val="false"/>
          <w:color w:val="000000"/>
          <w:sz w:val="22"/>
          <w:szCs w:val="22"/>
        </w:rPr>
        <w:t xml:space="preserve"/>
      </w:r>
    </w:p>
    <w:p>
      <w:pPr>
        <w:pStyle w:val="Heading1"/>
        <w:spacing w:before="300" w:after="160"/>
      </w:pPr>
      <w:r>
        <w:rPr>
          <w:rFonts w:ascii="Arial" w:cs="Arial" w:eastAsia="Arial" w:hAnsi="Arial"/>
          <w:b/>
          <w:bCs/>
          <w:color w:val="1F3864"/>
          <w:sz w:val="28"/>
          <w:szCs w:val="28"/>
        </w:rPr>
        <w:t xml:space="preserve">4. Marco Normativo</w:t>
      </w:r>
    </w:p>
    <w:p>
      <w:pPr>
        <w:pStyle w:val="Heading2"/>
        <w:spacing w:before="220" w:after="120"/>
      </w:pPr>
      <w:r>
        <w:rPr>
          <w:rFonts w:ascii="Arial" w:cs="Arial" w:eastAsia="Arial" w:hAnsi="Arial"/>
          <w:b/>
          <w:bCs/>
          <w:color w:val="2E5C8A"/>
          <w:sz w:val="24"/>
          <w:szCs w:val="24"/>
        </w:rPr>
        <w:t xml:space="preserve">4.1 Ley 100 de 1993</w:t>
      </w:r>
    </w:p>
    <w:p>
      <w:pPr>
        <w:spacing w:after="180"/>
        <w:jc w:val="both"/>
      </w:pPr>
      <w:r>
        <w:rPr>
          <w:rFonts w:ascii="Arial" w:cs="Arial" w:eastAsia="Arial" w:hAnsi="Arial"/>
          <w:b w:val="false"/>
          <w:bCs w:val="false"/>
          <w:i w:val="false"/>
          <w:iCs w:val="false"/>
          <w:color w:val="000000"/>
          <w:sz w:val="22"/>
          <w:szCs w:val="22"/>
        </w:rPr>
        <w:t xml:space="preserve">La Ley 100 de 1993 creó el Sistema General de Seguridad Social Integral en Colombia, estableciendo las bases para la protección de los trabajadores ante contingencias como la enfermedad, el accidente de trabajo y la maternidad. Esta ley define las responsabilidades de las EPS, ARL y empleadores en el reconocimiento y pago de las incapacidades laborales.</w:t>
      </w:r>
    </w:p>
    <w:p>
      <w:pPr>
        <w:pStyle w:val="Heading2"/>
        <w:spacing w:before="220" w:after="120"/>
      </w:pPr>
      <w:r>
        <w:rPr>
          <w:rFonts w:ascii="Arial" w:cs="Arial" w:eastAsia="Arial" w:hAnsi="Arial"/>
          <w:b/>
          <w:bCs/>
          <w:color w:val="2E5C8A"/>
          <w:sz w:val="24"/>
          <w:szCs w:val="24"/>
        </w:rPr>
        <w:t xml:space="preserve">4.2 Decreto 1406 de 1999</w:t>
      </w:r>
    </w:p>
    <w:p>
      <w:pPr>
        <w:spacing w:after="180"/>
        <w:jc w:val="both"/>
      </w:pPr>
      <w:r>
        <w:rPr>
          <w:rFonts w:ascii="Arial" w:cs="Arial" w:eastAsia="Arial" w:hAnsi="Arial"/>
          <w:b w:val="false"/>
          <w:bCs w:val="false"/>
          <w:i w:val="false"/>
          <w:iCs w:val="false"/>
          <w:color w:val="000000"/>
          <w:sz w:val="22"/>
          <w:szCs w:val="22"/>
        </w:rPr>
        <w:t xml:space="preserve">El Decreto 1406 de 1999 establece las disposiciones para el reconocimiento y pago de las incapacidades por enfermedad general. Determina que los dos primeros días de incapacidad son a cargo del empleador y que a partir del tercer día la EPS asume el pago del subsidio económico correspondiente al colaborador.</w:t>
      </w:r>
    </w:p>
    <w:p>
      <w:pPr>
        <w:pStyle w:val="Heading2"/>
        <w:spacing w:before="220" w:after="120"/>
      </w:pPr>
      <w:r>
        <w:rPr>
          <w:rFonts w:ascii="Arial" w:cs="Arial" w:eastAsia="Arial" w:hAnsi="Arial"/>
          <w:b/>
          <w:bCs/>
          <w:color w:val="2E5C8A"/>
          <w:sz w:val="24"/>
          <w:szCs w:val="24"/>
        </w:rPr>
        <w:t xml:space="preserve">4.3 Decreto 1333 de 2018</w:t>
      </w:r>
    </w:p>
    <w:p>
      <w:pPr>
        <w:spacing w:after="180"/>
        <w:jc w:val="both"/>
      </w:pPr>
      <w:r>
        <w:rPr>
          <w:rFonts w:ascii="Arial" w:cs="Arial" w:eastAsia="Arial" w:hAnsi="Arial"/>
          <w:b w:val="false"/>
          <w:bCs w:val="false"/>
          <w:i w:val="false"/>
          <w:iCs w:val="false"/>
          <w:color w:val="000000"/>
          <w:sz w:val="22"/>
          <w:szCs w:val="22"/>
        </w:rPr>
        <w:t xml:space="preserve">El Decreto 1333 de 2018 regula las condiciones para el reconocimiento y pago de incapacidades de origen laboral por parte de las ARL, estableciendo los procedimientos que deben seguir las empresas para radicar y cobrar dichas incapacidades.</w:t>
      </w:r>
    </w:p>
    <w:p>
      <w:pPr>
        <w:pStyle w:val="Heading2"/>
        <w:spacing w:before="220" w:after="120"/>
      </w:pPr>
      <w:r>
        <w:rPr>
          <w:rFonts w:ascii="Arial" w:cs="Arial" w:eastAsia="Arial" w:hAnsi="Arial"/>
          <w:b/>
          <w:bCs/>
          <w:color w:val="2E5C8A"/>
          <w:sz w:val="24"/>
          <w:szCs w:val="24"/>
        </w:rPr>
        <w:t xml:space="preserve">4.4 Ley 1822 de 2017 - Licencia de Maternidad</w:t>
      </w:r>
    </w:p>
    <w:p>
      <w:pPr>
        <w:spacing w:after="180"/>
        <w:jc w:val="both"/>
      </w:pPr>
      <w:r>
        <w:rPr>
          <w:rFonts w:ascii="Arial" w:cs="Arial" w:eastAsia="Arial" w:hAnsi="Arial"/>
          <w:b w:val="false"/>
          <w:bCs w:val="false"/>
          <w:i w:val="false"/>
          <w:iCs w:val="false"/>
          <w:color w:val="000000"/>
          <w:sz w:val="22"/>
          <w:szCs w:val="22"/>
        </w:rPr>
        <w:t xml:space="preserve">La Ley 1822 de 2017 amplió la licencia de maternidad en Colombia a 18 semanas, estableciendo las condiciones bajo las cuales la EPS debe reconocer y pagar dicha licencia. Esta normativa es relevante para SIGI en la clasificación y manejo del tipo de incapacidad correspondiente a maternidad.</w:t>
      </w:r>
    </w:p>
    <w:p>
      <w:pPr>
        <w:pStyle w:val="Heading2"/>
        <w:spacing w:before="220" w:after="120"/>
      </w:pPr>
      <w:r>
        <w:rPr>
          <w:rFonts w:ascii="Arial" w:cs="Arial" w:eastAsia="Arial" w:hAnsi="Arial"/>
          <w:b/>
          <w:bCs/>
          <w:color w:val="2E5C8A"/>
          <w:sz w:val="24"/>
          <w:szCs w:val="24"/>
        </w:rPr>
        <w:t xml:space="preserve">4.5 Resolución 2346 de 2007 - Historia Clínica Ocupacional</w:t>
      </w:r>
    </w:p>
    <w:p>
      <w:pPr>
        <w:spacing w:after="180"/>
        <w:jc w:val="both"/>
      </w:pPr>
      <w:r>
        <w:rPr>
          <w:rFonts w:ascii="Arial" w:cs="Arial" w:eastAsia="Arial" w:hAnsi="Arial"/>
          <w:b w:val="false"/>
          <w:bCs w:val="false"/>
          <w:i w:val="false"/>
          <w:iCs w:val="false"/>
          <w:color w:val="000000"/>
          <w:sz w:val="22"/>
          <w:szCs w:val="22"/>
        </w:rPr>
        <w:t xml:space="preserve">La Resolución 2346 de 2007 del Ministerio de la Protección Social regula la práctica de evaluaciones médicas ocupacionales y el manejo del contenido de las historias clínicas ocupacionales. Establece los lineamientos para el manejo confidencial de la información médica de los trabajadores, aspecto que SIGI deberá contemplar en el tratamiento de los datos de diagnóstico de las incapacidades.</w:t>
      </w:r>
    </w:p>
    <w:p>
      <w:pPr>
        <w:pStyle w:val="Heading2"/>
        <w:spacing w:before="220" w:after="120"/>
      </w:pPr>
      <w:r>
        <w:rPr>
          <w:rFonts w:ascii="Arial" w:cs="Arial" w:eastAsia="Arial" w:hAnsi="Arial"/>
          <w:b/>
          <w:bCs/>
          <w:color w:val="2E5C8A"/>
          <w:sz w:val="24"/>
          <w:szCs w:val="24"/>
        </w:rPr>
        <w:t xml:space="preserve">4.6 Ley 1581 de 2012 - Protección de Datos Personales</w:t>
      </w:r>
    </w:p>
    <w:p>
      <w:pPr>
        <w:spacing w:after="180"/>
        <w:jc w:val="both"/>
      </w:pPr>
      <w:r>
        <w:rPr>
          <w:rFonts w:ascii="Arial" w:cs="Arial" w:eastAsia="Arial" w:hAnsi="Arial"/>
          <w:b w:val="false"/>
          <w:bCs w:val="false"/>
          <w:i w:val="false"/>
          <w:iCs w:val="false"/>
          <w:color w:val="000000"/>
          <w:sz w:val="22"/>
          <w:szCs w:val="22"/>
        </w:rPr>
        <w:t xml:space="preserve">La Ley 1581 de 2012, conocida como la Ley de Habeas Data, establece las disposiciones generales para la protección de datos personales en Colombia. Dado que SIGI manejará información sensible de los colaboradores, como diagnósticos médicos y datos de identidad, el sistema deberá cumplir con los principios de esta ley: legalidad, finalidad, libertad, veracidad, transparencia, acceso y circulación restringida, seguridad y confidencialidad.</w:t>
      </w:r>
    </w:p>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Bdr>
          <w:top w:val="single" w:color="1F3864" w:sz="4" w:space="1"/>
        </w:pBdr>
        <w:spacing w:after="300"/>
      </w:pPr>
      <w:r>
        <w:rPr>
          <w:rFonts w:ascii="Arial" w:cs="Arial" w:eastAsia="Arial" w:hAnsi="Arial"/>
          <w:b w:val="false"/>
          <w:bCs w:val="false"/>
          <w:i w:val="false"/>
          <w:iCs w:val="false"/>
          <w:color w:val="000000"/>
          <w:sz w:val="22"/>
          <w:szCs w:val="22"/>
        </w:rPr>
        <w:t xml:space="preserve"/>
      </w:r>
    </w:p>
    <w:p>
      <w:pPr>
        <w:spacing w:after="60"/>
        <w:jc w:val="center"/>
      </w:pPr>
      <w:r>
        <w:rPr>
          <w:rFonts w:ascii="Arial" w:cs="Arial" w:eastAsia="Arial" w:hAnsi="Arial"/>
          <w:b/>
          <w:bCs/>
          <w:i w:val="false"/>
          <w:iCs w:val="false"/>
          <w:color w:val="000000"/>
          <w:sz w:val="22"/>
          <w:szCs w:val="22"/>
        </w:rPr>
        <w:t xml:space="preserve">José Armando Salamanca</w:t>
      </w:r>
    </w:p>
    <w:p>
      <w:pPr>
        <w:spacing w:after="60"/>
        <w:jc w:val="center"/>
      </w:pPr>
      <w:r>
        <w:rPr>
          <w:rFonts w:ascii="Arial" w:cs="Arial" w:eastAsia="Arial" w:hAnsi="Arial"/>
          <w:b w:val="false"/>
          <w:bCs w:val="false"/>
          <w:i/>
          <w:iCs/>
          <w:color w:val="000000"/>
          <w:sz w:val="20"/>
          <w:szCs w:val="20"/>
        </w:rPr>
        <w:t xml:space="preserve">Estudiante - Ingeniería de Software</w:t>
      </w:r>
    </w:p>
    <w:p>
      <w:pPr>
        <w:spacing w:after="60"/>
        <w:jc w:val="center"/>
      </w:pPr>
      <w:r>
        <w:rPr>
          <w:rFonts w:ascii="Arial" w:cs="Arial" w:eastAsia="Arial" w:hAnsi="Arial"/>
          <w:b w:val="false"/>
          <w:bCs w:val="false"/>
          <w:i w:val="false"/>
          <w:iCs w:val="false"/>
          <w:color w:val="000000"/>
          <w:sz w:val="20"/>
          <w:szCs w:val="20"/>
        </w:rPr>
        <w:t xml:space="preserve">Universidad Politécnico Grancolombiano</w:t>
      </w:r>
    </w:p>
    <w:p>
      <w:pPr>
        <w:jc w:val="center"/>
      </w:pPr>
      <w:r>
        <w:rPr>
          <w:rFonts w:ascii="Arial" w:cs="Arial" w:eastAsia="Arial" w:hAnsi="Arial"/>
          <w:b w:val="false"/>
          <w:bCs w:val="false"/>
          <w:i w:val="false"/>
          <w:iCs w:val="false"/>
          <w:color w:val="000000"/>
          <w:sz w:val="20"/>
          <w:szCs w:val="20"/>
        </w:rPr>
        <w:t xml:space="preserve">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20" w:after="120"/>
      <w:outlineLvl w:val="1"/>
    </w:pPr>
    <w:rPr>
      <w:rFonts w:ascii="Arial" w:cs="Arial" w:eastAsia="Arial" w:hAnsi="Arial"/>
      <w:b/>
      <w:bCs/>
      <w:color w:val="2E5C8A"/>
      <w:sz w:val="24"/>
      <w:szCs w:val="24"/>
    </w:rPr>
  </w:style>
  <w:style w:type="paragraph" w:styleId="Heading3">
    <w:name w:val="Heading 3"/>
    <w:basedOn w:val="Normal"/>
    <w:next w:val="Normal"/>
    <w:qFormat/>
    <w:pPr>
      <w:spacing w:before="180" w:after="100"/>
      <w:outlineLvl w:val="2"/>
    </w:pPr>
    <w:rPr>
      <w:rFonts w:ascii="Arial" w:cs="Arial" w:eastAsia="Arial" w:hAnsi="Arial"/>
      <w:b/>
      <w:bCs/>
      <w:color w:val="1A527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2026-02-20T22:40:49.534Z</dcterms:created>
  <dcterms:modified xsi:type="dcterms:W3CDTF">2026-02-20T22:40:49.535Z</dcterms:modified>
</cp:coreProperties>
</file>

<file path=docProps/custom.xml><?xml version="1.0" encoding="utf-8"?>
<Properties xmlns="http://schemas.openxmlformats.org/officeDocument/2006/custom-properties" xmlns:vt="http://schemas.openxmlformats.org/officeDocument/2006/docPropsVTypes"/>
</file>