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CD3BD0">
      <w:pPr>
        <w:spacing w:after="0" w:line="240" w:lineRule="auto"/>
        <w:jc w:val="center"/>
        <w:rPr>
          <w:rFonts w:eastAsia="黑体" w:cs="Times New Roman"/>
          <w:b/>
          <w:bCs/>
          <w:sz w:val="44"/>
          <w:szCs w:val="42"/>
          <w:lang w:eastAsia="zh-CN"/>
        </w:rPr>
      </w:pPr>
    </w:p>
    <w:p w14:paraId="56260695">
      <w:pPr>
        <w:spacing w:after="0" w:line="240" w:lineRule="auto"/>
        <w:jc w:val="center"/>
        <w:rPr>
          <w:rFonts w:eastAsia="黑体" w:cs="Times New Roman"/>
          <w:b/>
          <w:bCs/>
          <w:sz w:val="44"/>
          <w:szCs w:val="42"/>
          <w:lang w:eastAsia="zh-CN"/>
        </w:rPr>
      </w:pPr>
      <w:r>
        <w:rPr>
          <w:rFonts w:eastAsia="黑体" w:cs="Times New Roman"/>
          <w:b/>
          <w:bCs/>
          <w:sz w:val="44"/>
          <w:szCs w:val="42"/>
          <w:lang w:eastAsia="zh-CN"/>
        </w:rPr>
        <w:t>第五届中国研究生金融科技创新大赛</w:t>
      </w:r>
    </w:p>
    <w:p w14:paraId="4DD3A7AF">
      <w:pPr>
        <w:spacing w:line="600" w:lineRule="exact"/>
        <w:jc w:val="center"/>
        <w:rPr>
          <w:rFonts w:ascii="Times New Roman" w:hAnsi="Times New Roman" w:cs="Times New Roman"/>
          <w:b/>
          <w:bCs/>
          <w:sz w:val="32"/>
          <w:szCs w:val="32"/>
          <w:lang w:eastAsia="zh-CN"/>
        </w:rPr>
      </w:pPr>
      <w:r>
        <w:rPr>
          <w:rFonts w:hint="eastAsia" w:eastAsia="黑体" w:cs="Times New Roman"/>
          <w:b/>
          <w:bCs/>
          <w:sz w:val="44"/>
          <w:szCs w:val="42"/>
          <w:lang w:eastAsia="zh-CN"/>
        </w:rPr>
        <w:t>“</w:t>
      </w:r>
      <w:r>
        <w:rPr>
          <w:rFonts w:eastAsia="黑体" w:cs="Times New Roman"/>
          <w:b/>
          <w:bCs/>
          <w:sz w:val="44"/>
          <w:szCs w:val="42"/>
          <w:lang w:eastAsia="zh-CN"/>
        </w:rPr>
        <w:t>揭榜挂帅</w:t>
      </w:r>
      <w:r>
        <w:rPr>
          <w:rFonts w:hint="eastAsia" w:eastAsia="黑体" w:cs="Times New Roman"/>
          <w:b/>
          <w:bCs/>
          <w:sz w:val="44"/>
          <w:szCs w:val="42"/>
          <w:lang w:eastAsia="zh-CN"/>
        </w:rPr>
        <w:t>”</w:t>
      </w:r>
      <w:r>
        <w:rPr>
          <w:rFonts w:eastAsia="黑体" w:cs="Times New Roman"/>
          <w:b/>
          <w:bCs/>
          <w:sz w:val="44"/>
          <w:szCs w:val="42"/>
          <w:lang w:eastAsia="zh-CN"/>
        </w:rPr>
        <w:t>赛题说明</w:t>
      </w:r>
    </w:p>
    <w:tbl>
      <w:tblPr>
        <w:tblStyle w:val="3"/>
        <w:tblW w:w="10063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6"/>
        <w:gridCol w:w="1276"/>
        <w:gridCol w:w="1984"/>
        <w:gridCol w:w="1346"/>
        <w:gridCol w:w="3331"/>
      </w:tblGrid>
      <w:tr w14:paraId="59BE9A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10063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DA72C33">
            <w:pPr>
              <w:spacing w:after="0" w:line="240" w:lineRule="auto"/>
              <w:jc w:val="center"/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一、命题单位基本情况</w:t>
            </w:r>
          </w:p>
        </w:tc>
      </w:tr>
      <w:tr w14:paraId="1BFD10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6C3A9EC">
            <w:pPr>
              <w:spacing w:after="0" w:line="240" w:lineRule="auto"/>
              <w:jc w:val="center"/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单位名称</w:t>
            </w:r>
          </w:p>
        </w:tc>
        <w:tc>
          <w:tcPr>
            <w:tcW w:w="793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AE5C58A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color w:val="000000"/>
                <w:sz w:val="28"/>
                <w:szCs w:val="28"/>
                <w:lang w:val="en-US" w:eastAsia="zh-CN"/>
              </w:rPr>
              <w:t>东吴证券股份有限公司</w:t>
            </w:r>
          </w:p>
        </w:tc>
      </w:tr>
      <w:tr w14:paraId="533E2D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B937588">
            <w:pPr>
              <w:spacing w:after="0" w:line="240" w:lineRule="auto"/>
              <w:jc w:val="center"/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单位地址</w:t>
            </w:r>
          </w:p>
        </w:tc>
        <w:tc>
          <w:tcPr>
            <w:tcW w:w="793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8EC97BE">
            <w:pPr>
              <w:spacing w:after="0" w:line="240" w:lineRule="auto"/>
              <w:jc w:val="center"/>
              <w:rPr>
                <w:rFonts w:hint="eastAsia" w:ascii="仿宋" w:hAnsi="仿宋" w:eastAsia="仿宋" w:cs="仿宋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color w:val="000000"/>
                <w:sz w:val="28"/>
                <w:szCs w:val="28"/>
                <w:lang w:val="en-US" w:eastAsia="zh-CN"/>
              </w:rPr>
              <w:t>江苏省苏州市工业园区星阳街5号</w:t>
            </w:r>
          </w:p>
        </w:tc>
      </w:tr>
      <w:tr w14:paraId="61886C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atLeast"/>
          <w:jc w:val="center"/>
        </w:trPr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1EE2A8B">
            <w:pPr>
              <w:spacing w:after="0" w:line="240" w:lineRule="auto"/>
              <w:jc w:val="center"/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单位简介</w:t>
            </w:r>
          </w:p>
        </w:tc>
        <w:tc>
          <w:tcPr>
            <w:tcW w:w="793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8C329DA">
            <w:pPr>
              <w:spacing w:after="0" w:line="240" w:lineRule="auto"/>
              <w:jc w:val="left"/>
              <w:rPr>
                <w:rFonts w:hint="eastAsia" w:ascii="仿宋" w:hAnsi="仿宋" w:eastAsia="仿宋" w:cs="仿宋"/>
                <w:color w:val="000000"/>
                <w:sz w:val="28"/>
                <w:szCs w:val="28"/>
                <w:lang w:eastAsia="zh-CN"/>
              </w:rPr>
            </w:pPr>
            <w:r>
              <w:rPr>
                <w:rFonts w:hint="eastAsia" w:ascii="仿宋" w:hAnsi="仿宋" w:eastAsia="仿宋" w:cs="仿宋"/>
                <w:color w:val="000000"/>
                <w:sz w:val="28"/>
                <w:szCs w:val="28"/>
                <w:lang w:val="en-US" w:eastAsia="zh-CN"/>
              </w:rPr>
              <w:t>东吴证券作为全国性综合类证券公司，高度重视数字化转型与金融科技创新。近年来，公司在人工智能赋能金融业务方面持续投入，大力推动大模型及 Agentic AI 技术在投研、财富管理、合规审计等领域的深层次应用，致力于打造行业领先的数智化金融服务生态，以科技赋能实体经济与资本市场的高质量发展。</w:t>
            </w:r>
          </w:p>
        </w:tc>
      </w:tr>
      <w:tr w14:paraId="0A66AD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212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18E7881">
            <w:pPr>
              <w:spacing w:after="0" w:line="240" w:lineRule="auto"/>
              <w:jc w:val="center"/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联系人</w:t>
            </w:r>
          </w:p>
        </w:tc>
        <w:tc>
          <w:tcPr>
            <w:tcW w:w="12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1667696">
            <w:pPr>
              <w:spacing w:after="0" w:line="240" w:lineRule="auto"/>
              <w:jc w:val="center"/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姓名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025367B">
            <w:pPr>
              <w:spacing w:after="0" w:line="240" w:lineRule="auto"/>
              <w:jc w:val="center"/>
              <w:rPr>
                <w:rFonts w:ascii="Times New Roman" w:hAnsi="Times New Roman" w:eastAsia="仿宋" w:cs="Times New Roman"/>
                <w:color w:val="000000"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eastAsia="zh-CN"/>
              </w:rPr>
              <w:t>任川</w:t>
            </w:r>
          </w:p>
        </w:tc>
        <w:tc>
          <w:tcPr>
            <w:tcW w:w="13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3944A21">
            <w:pPr>
              <w:spacing w:after="0" w:line="240" w:lineRule="auto"/>
              <w:jc w:val="center"/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职务</w:t>
            </w:r>
          </w:p>
        </w:tc>
        <w:tc>
          <w:tcPr>
            <w:tcW w:w="33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D46E270">
            <w:pPr>
              <w:spacing w:after="0" w:line="240" w:lineRule="auto"/>
              <w:jc w:val="center"/>
              <w:rPr>
                <w:rFonts w:ascii="Times New Roman" w:hAnsi="Times New Roman" w:eastAsia="仿宋" w:cs="Times New Roman"/>
                <w:color w:val="000000"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eastAsia="zh-CN"/>
              </w:rPr>
              <w:t>信息技术总部副总经理</w:t>
            </w:r>
          </w:p>
        </w:tc>
      </w:tr>
      <w:tr w14:paraId="5A790A6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2126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38E23A5">
            <w:pPr>
              <w:spacing w:after="0" w:line="240" w:lineRule="auto"/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127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CE1CA04">
            <w:pPr>
              <w:spacing w:after="0" w:line="240" w:lineRule="auto"/>
              <w:jc w:val="center"/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手机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1DD11AC">
            <w:pPr>
              <w:spacing w:after="0" w:line="240" w:lineRule="auto"/>
              <w:jc w:val="center"/>
              <w:rPr>
                <w:rFonts w:hint="default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18610756988</w:t>
            </w:r>
          </w:p>
        </w:tc>
        <w:tc>
          <w:tcPr>
            <w:tcW w:w="134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BB57DB1">
            <w:pPr>
              <w:spacing w:after="0" w:line="240" w:lineRule="auto"/>
              <w:jc w:val="center"/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邮箱</w:t>
            </w:r>
          </w:p>
        </w:tc>
        <w:tc>
          <w:tcPr>
            <w:tcW w:w="333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98450CE">
            <w:pPr>
              <w:spacing w:after="0" w:line="240" w:lineRule="auto"/>
              <w:jc w:val="center"/>
              <w:rPr>
                <w:rFonts w:hint="default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rench@dwzq.com.cn</w:t>
            </w:r>
          </w:p>
        </w:tc>
      </w:tr>
      <w:tr w14:paraId="54A0D7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10063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5C31A63">
            <w:pPr>
              <w:spacing w:after="0" w:line="240" w:lineRule="auto"/>
              <w:jc w:val="center"/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二、命题信息</w:t>
            </w:r>
          </w:p>
        </w:tc>
      </w:tr>
      <w:tr w14:paraId="7EB839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212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079C884">
            <w:pPr>
              <w:spacing w:after="0" w:line="240" w:lineRule="auto"/>
              <w:jc w:val="center"/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命题名称</w:t>
            </w:r>
          </w:p>
        </w:tc>
        <w:tc>
          <w:tcPr>
            <w:tcW w:w="7937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F8A1CE5">
            <w:pPr>
              <w:spacing w:after="0" w:line="240" w:lineRule="auto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  <w:lang w:val="en-US" w:eastAsia="zh-CN"/>
              </w:rPr>
              <w:t>基于 Agentic AI 的上市公司监管问询概率预测与扫雷预警算法探索</w:t>
            </w:r>
          </w:p>
        </w:tc>
      </w:tr>
      <w:tr w14:paraId="5948FF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2126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3130ED0C">
            <w:pPr>
              <w:spacing w:after="0" w:line="240" w:lineRule="auto"/>
              <w:jc w:val="center"/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Times New Roman" w:hAnsi="Times New Roman" w:eastAsia="黑体" w:cs="宋体"/>
                <w:b/>
                <w:bCs/>
                <w:color w:val="000000"/>
                <w:sz w:val="28"/>
                <w:szCs w:val="28"/>
                <w:lang w:eastAsia="zh-CN"/>
              </w:rPr>
              <w:t>命题概述</w:t>
            </w:r>
          </w:p>
        </w:tc>
        <w:tc>
          <w:tcPr>
            <w:tcW w:w="7937" w:type="dxa"/>
            <w:gridSpan w:val="4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ABBD0B9">
            <w:pPr>
              <w:spacing w:after="0" w:line="240" w:lineRule="auto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color w:val="000000"/>
                <w:sz w:val="28"/>
                <w:szCs w:val="28"/>
                <w:lang w:val="en-US" w:eastAsia="zh-CN"/>
              </w:rPr>
              <w:t>综合利用上市公司公告、定期报告、监管问询函及回复、财务指标和市场舆情等多源数据，基于大语言模型与 Agentic AI 技术构建自主规划型上市公司扫雷智能体，实现对上市公司未来受到</w:t>
            </w:r>
            <w:r>
              <w:rPr>
                <w:rFonts w:hint="eastAsia" w:ascii="仿宋" w:hAnsi="仿宋" w:eastAsia="仿宋" w:cs="仿宋"/>
                <w:color w:val="000000"/>
                <w:sz w:val="28"/>
                <w:szCs w:val="28"/>
                <w:highlight w:val="yellow"/>
                <w:lang w:val="en-US" w:eastAsia="zh-CN"/>
              </w:rPr>
              <w:t>监管问询概率的预测</w:t>
            </w:r>
            <w:r>
              <w:rPr>
                <w:rFonts w:hint="eastAsia" w:ascii="仿宋" w:hAnsi="仿宋" w:eastAsia="仿宋" w:cs="仿宋"/>
                <w:color w:val="000000"/>
                <w:sz w:val="28"/>
                <w:szCs w:val="28"/>
                <w:lang w:val="en-US" w:eastAsia="zh-CN"/>
              </w:rPr>
              <w:t>、</w:t>
            </w:r>
            <w:r>
              <w:rPr>
                <w:rFonts w:hint="eastAsia" w:ascii="仿宋" w:hAnsi="仿宋" w:eastAsia="仿宋" w:cs="仿宋"/>
                <w:color w:val="000000"/>
                <w:sz w:val="28"/>
                <w:szCs w:val="28"/>
                <w:highlight w:val="yellow"/>
                <w:lang w:val="en-US" w:eastAsia="zh-CN"/>
              </w:rPr>
              <w:t>风险诱因归因</w:t>
            </w:r>
            <w:r>
              <w:rPr>
                <w:rFonts w:hint="eastAsia" w:ascii="仿宋" w:hAnsi="仿宋" w:eastAsia="仿宋" w:cs="仿宋"/>
                <w:color w:val="000000"/>
                <w:sz w:val="28"/>
                <w:szCs w:val="28"/>
                <w:lang w:val="en-US" w:eastAsia="zh-CN"/>
              </w:rPr>
              <w:t>及</w:t>
            </w:r>
            <w:r>
              <w:rPr>
                <w:rFonts w:hint="eastAsia" w:ascii="仿宋" w:hAnsi="仿宋" w:eastAsia="仿宋" w:cs="仿宋"/>
                <w:color w:val="000000"/>
                <w:sz w:val="28"/>
                <w:szCs w:val="28"/>
                <w:highlight w:val="yellow"/>
                <w:lang w:val="en-US" w:eastAsia="zh-CN"/>
              </w:rPr>
              <w:t>可解释预警报告生成</w:t>
            </w:r>
            <w:r>
              <w:rPr>
                <w:rFonts w:hint="eastAsia" w:ascii="仿宋" w:hAnsi="仿宋" w:eastAsia="仿宋" w:cs="仿宋"/>
                <w:color w:val="000000"/>
                <w:sz w:val="28"/>
                <w:szCs w:val="28"/>
                <w:lang w:val="en-US" w:eastAsia="zh-CN"/>
              </w:rPr>
              <w:t>。</w:t>
            </w:r>
          </w:p>
        </w:tc>
      </w:tr>
      <w:tr w14:paraId="136C794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10063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1357085">
            <w:pPr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  <w:r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业务场景描述</w:t>
            </w:r>
          </w:p>
          <w:p w14:paraId="50567BCE">
            <w:pPr>
              <w:spacing w:after="0" w:line="240" w:lineRule="auto"/>
              <w:ind w:firstLine="560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在资本市场投研、合规风控与机构客户服务场景中，上市公司信息披露质量直接影响投资决策、风险定价与客户适当性管理。监管问询函及上市公司回复，是监管机构针对财务异常、经营波动、并购重组、关联交易、担保事项、资金占用、业绩预告偏差、会计处理争议等问题进行穿透式核查的重要公开信号。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highlight w:val="yellow"/>
                <w:lang w:val="en-US" w:eastAsia="zh-CN"/>
              </w:rPr>
              <w:t>对于证券公司而言，能否在问询函正式发布前识别潜在“被问询”公司，是上市公司扫雷、负面事件预警和投研风险控制中的关键能力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。然而，在实际业务中，上市公司风险识别仍面临以下核心瓶颈：</w:t>
            </w:r>
          </w:p>
          <w:p w14:paraId="47FD8E59">
            <w:pPr>
              <w:spacing w:after="0" w:line="240" w:lineRule="auto"/>
              <w:ind w:firstLine="562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第一，风险线索分散且前兆弱。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上市公司可能在年报、季报、业绩预告、临时公告、交易所互动问答、监管处罚、媒体报道等不同渠道中暴露异常信号，但单一信号往往不构成明确风险，需要结合历史问询案例进行综合研判。</w:t>
            </w:r>
          </w:p>
          <w:p w14:paraId="27C9FDB8">
            <w:pPr>
              <w:spacing w:after="0" w:line="240" w:lineRule="auto"/>
              <w:ind w:firstLine="562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第二，监管问询具有强语义、强场景特征。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监管机构发函并非简单由单一财务指标触发，而是围绕披露逻辑、经营合理性、交易实质、会计处理、资金流向和前后表述一致性进行综合判断。传统规则模型或浅层机器学习方法难以理解“为何被问询”的业务语义。</w:t>
            </w:r>
          </w:p>
          <w:p w14:paraId="79ED97C6">
            <w:pPr>
              <w:spacing w:after="0" w:line="240" w:lineRule="auto"/>
              <w:ind w:firstLine="562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第三，人工扫雷效率低、覆盖范围有限。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投研和风控人员需要持续阅读大量公告与问询回复，归纳监管关注点，并判断同类风险是否在其他公司中重现。该过程高度依赖专家经验，难以形成全市场、连续化、可复用的预测能力。</w:t>
            </w:r>
          </w:p>
          <w:p w14:paraId="68BF0173">
            <w:pPr>
              <w:spacing w:after="0" w:line="240" w:lineRule="auto"/>
              <w:ind w:firstLine="560" w:firstLineChars="200"/>
              <w:jc w:val="both"/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因此，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highlight w:val="yellow"/>
                <w:lang w:val="en-US" w:eastAsia="zh-CN"/>
              </w:rPr>
              <w:t>亟需一套基于大语言模型与 Agentic AI 的上市公司扫雷算法，模拟资深投研与合规专家的“信息检索-线索抽取-风险假设-证据核验-概率预测-归因解释”工作流，以历史监管问询函及回复作为监督依据，提前识别高概率受到监管问询的上市公司，并生成可复核的风险预警说明。</w:t>
            </w:r>
          </w:p>
        </w:tc>
      </w:tr>
      <w:tr w14:paraId="0BC744C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10063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8BA8774">
            <w:r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技术攻关问题描述</w:t>
            </w:r>
          </w:p>
          <w:p w14:paraId="0FF133B1">
            <w:pPr>
              <w:spacing w:after="0" w:line="240" w:lineRule="auto"/>
              <w:ind w:firstLine="560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1、复杂信息披露语境下的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highlight w:val="yellow"/>
                <w:lang w:val="en-US" w:eastAsia="zh-CN"/>
              </w:rPr>
              <w:t>监管关注点识别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与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highlight w:val="yellow"/>
                <w:lang w:val="en-US" w:eastAsia="zh-CN"/>
              </w:rPr>
              <w:t>防幻觉推理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。如何让大语言模型准确理解公告、年报、问询函及回复中的财务异常、披露矛盾、交易实质和监管关注语义，并避免在长文本、多表格、多公告链路中产生错误归因或无依据推断？</w:t>
            </w:r>
          </w:p>
          <w:p w14:paraId="5DE10DA0">
            <w:pPr>
              <w:spacing w:after="0" w:line="240" w:lineRule="auto"/>
              <w:ind w:firstLine="560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2、历史监管问询样本驱动的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highlight w:val="yellow"/>
                <w:lang w:val="en-US" w:eastAsia="zh-CN"/>
              </w:rPr>
              <w:t>被问询概率预测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。如何以历史监管问询函及回复作为标签或弱监督依据，将公告文本、财务指标、市场表现、舆情事件、公司治理特征等异构信息转化为可建模特征，预测上市公司在未来窗口期内受到监管问询的概率？</w:t>
            </w:r>
          </w:p>
          <w:p w14:paraId="559D4F86">
            <w:pPr>
              <w:spacing w:after="0" w:line="240" w:lineRule="auto"/>
              <w:ind w:firstLine="560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3、Agentic AI 自主规划分析流程的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highlight w:val="yellow"/>
                <w:lang w:val="en-US" w:eastAsia="zh-CN"/>
              </w:rPr>
              <w:t>稳定性与可复现性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。如何设计多智能体协同机制，使扫雷 Agent 能够自主拆解分析任务、调用公告检索、指标计算、同类案例比对、风险规则核验等 Skill，并在不同样本上保持一致、可追踪、可复现的推理路径？</w:t>
            </w:r>
          </w:p>
          <w:p w14:paraId="3C3BCA00">
            <w:pPr>
              <w:spacing w:after="0" w:line="240" w:lineRule="auto"/>
              <w:ind w:firstLine="560" w:firstLineChars="200"/>
              <w:jc w:val="both"/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4、预测结果的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highlight w:val="yellow"/>
                <w:lang w:val="en-US" w:eastAsia="zh-CN"/>
              </w:rPr>
              <w:t>可解释性与业务可用性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。上市公司扫雷预警不能仅输出概率分数，还需要说明触发预测的关键风险因素、对应公告证据、相似历史问询案例和模型判断链路。现有黑盒模型难以满足投研、合规和风控人员的复核要求。</w:t>
            </w:r>
          </w:p>
        </w:tc>
      </w:tr>
      <w:tr w14:paraId="7E7D87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10063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3671303">
            <w:r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攻关任务描述</w:t>
            </w:r>
          </w:p>
          <w:p w14:paraId="1163253B">
            <w:pPr>
              <w:spacing w:after="0" w:line="240" w:lineRule="auto"/>
              <w:ind w:firstLine="562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任务 1：监管问询语料解析与风险关注点抽取</w:t>
            </w:r>
          </w:p>
          <w:p w14:paraId="19FA8820">
            <w:pPr>
              <w:spacing w:after="0" w:line="240" w:lineRule="auto"/>
              <w:ind w:firstLine="560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聚焦解决复杂信息披露语境理解问题，参赛团队需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highlight w:val="yellow"/>
                <w:lang w:val="en-US" w:eastAsia="zh-CN"/>
              </w:rPr>
              <w:t>构建面向上市公司公告、年报、监管问询函及回复的长文本解析与风险要素抽取模块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，提取监管关注事项、被问询原因、公司回复要点、财务指标异常、披露矛盾、交易事项、会计处理争议等结构化信息，形成可用于建模的监管关注点标签体系与证据片段库。</w:t>
            </w:r>
          </w:p>
          <w:p w14:paraId="486E82BE">
            <w:pPr>
              <w:spacing w:after="0" w:line="240" w:lineRule="auto"/>
              <w:ind w:firstLine="562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任务 2：上市公司被问询概率预测模型</w:t>
            </w:r>
          </w:p>
          <w:p w14:paraId="50529250">
            <w:pPr>
              <w:spacing w:after="0" w:line="240" w:lineRule="auto"/>
              <w:ind w:firstLine="560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针对历史监管问询样本驱动的预测问题，参赛团队需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highlight w:val="yellow"/>
                <w:lang w:val="en-US" w:eastAsia="zh-CN"/>
              </w:rPr>
              <w:t>构建预测模型或多模型集成框架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，融合公告语义特征、财务异常特征、股价与成交异动、舆情热度、历史问询记录、行业与公司治理特征等信息，预测上市公司在未来 30/60/90 天内受到交易所或监管机构问询的概率，并输出风险等级排序。</w:t>
            </w:r>
          </w:p>
          <w:p w14:paraId="272D55D6">
            <w:pPr>
              <w:spacing w:after="0" w:line="240" w:lineRule="auto"/>
              <w:ind w:firstLine="562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任务 3：自主规划型扫雷 Agent 与 Skill 编排</w:t>
            </w:r>
          </w:p>
          <w:p w14:paraId="2F273410">
            <w:pPr>
              <w:spacing w:after="0" w:line="240" w:lineRule="auto"/>
              <w:ind w:firstLine="560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围绕 Agentic AI 分析流程稳定性问题，参赛团队需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highlight w:val="yellow"/>
                <w:lang w:val="en-US" w:eastAsia="zh-CN"/>
              </w:rPr>
              <w:t>设计多智能体协作架构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，例如公告研读 Agent、财务异常检测 Agent、监管案例检索 Agent、预测建模 Agent、归因解释 Agent 等，并将公告检索、问询案例匹配、财务指标计算、风险模板生成等能力封装为可复用 Skill，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highlight w:val="yellow"/>
                <w:lang w:val="en-US" w:eastAsia="zh-CN"/>
              </w:rPr>
              <w:t>实现从输入公司列表到输出扫雷结果的自动化 Pipeline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。</w:t>
            </w:r>
          </w:p>
          <w:p w14:paraId="3B9A90AF">
            <w:pPr>
              <w:spacing w:after="0" w:line="240" w:lineRule="auto"/>
              <w:ind w:firstLine="562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任务 4：可解释预警报告与复核工具</w:t>
            </w:r>
          </w:p>
          <w:p w14:paraId="4F4B165E">
            <w:pPr>
              <w:spacing w:after="0" w:line="240" w:lineRule="auto"/>
              <w:ind w:firstLine="560" w:firstLineChars="200"/>
              <w:jc w:val="both"/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面向业务可用性，参赛团队需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highlight w:val="yellow"/>
                <w:lang w:val="en-US" w:eastAsia="zh-CN"/>
              </w:rPr>
              <w:t>构建可解释输出机制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，生成单公司或批量公司的监管问询概率、风险标签、主要诱因、相似历史案例、原文证据、预测窗口和模型置信度，并提供可运行的原型系统、API 服务或主流 Agentic AI 工具中可挂载的 Skill，支持投研与风控人员复核。</w:t>
            </w:r>
          </w:p>
        </w:tc>
      </w:tr>
      <w:tr w14:paraId="7CF3C6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10063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0F9CB1A">
            <w:r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现有基础</w:t>
            </w:r>
          </w:p>
          <w:p w14:paraId="7974A9F5">
            <w:pPr>
              <w:spacing w:after="0" w:line="240" w:lineRule="auto"/>
              <w:ind w:firstLine="562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技术与平台储备：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命题单位在金融 AI 领域具有深厚积累，自主研发的企业级 AIaaS 平台已具备底层算力调度、主流开源/闭源大模型接入、模型训练、微调与评测能力，可支撑上市公司信息披露文本理解、风险识别与预测模型验证。</w:t>
            </w:r>
          </w:p>
          <w:p w14:paraId="66B9724B">
            <w:pPr>
              <w:spacing w:after="0" w:line="240" w:lineRule="auto"/>
              <w:ind w:firstLine="562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Agentic AI 架构基础：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目前已在内部深入研发以“推理-行动-观察-反思”为核心的多智能体协同架构，在合规、审计、投研等复杂金融场景的自动化巡检与逻辑问答中进行了初步验证，积累了 Agent 框架搭建、工具调用、Skill 挂载、任务编排和推理日志追踪经验。</w:t>
            </w:r>
          </w:p>
          <w:p w14:paraId="10BB1C00">
            <w:pPr>
              <w:spacing w:after="0" w:line="240" w:lineRule="auto"/>
              <w:ind w:firstLine="562" w:firstLineChars="200"/>
              <w:jc w:val="both"/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数据资源沉淀：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已具备上市公司公告、定期报告、监管问询函及回复、基础行情、财务指标和公开舆情等数据的整理基础，可围绕历史监管问询事件构建训练集与测试集。现阶段仍需进一步提升长文本风险语义抽取、问询概率预测精度、跨公司同类案例迁移和可解释报告生成能力。</w:t>
            </w:r>
          </w:p>
        </w:tc>
      </w:tr>
      <w:tr w14:paraId="3F9A8F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10063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0B218B59">
            <w:pPr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  <w:r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任务目标</w:t>
            </w:r>
          </w:p>
          <w:p w14:paraId="28F0DA40">
            <w:pPr>
              <w:spacing w:after="0" w:line="240" w:lineRule="auto"/>
              <w:ind w:firstLine="560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highlight w:val="yellow"/>
                <w:lang w:val="en-US" w:eastAsia="zh-CN"/>
              </w:rPr>
              <w:t>构建一套基于 Agentic AI 的上市公司扫雷预警系统，实现对上市公司未来受到监管问询概率的方向性预测、风险诱因归因和可解释报告生成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。总体目标如下：</w:t>
            </w:r>
          </w:p>
          <w:p w14:paraId="06902310">
            <w:pPr>
              <w:spacing w:after="0" w:line="240" w:lineRule="auto"/>
              <w:ind w:firstLine="560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</w:p>
          <w:p w14:paraId="09662CBF">
            <w:pPr>
              <w:spacing w:after="0" w:line="240" w:lineRule="auto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技术指标 - 监管问询概率预测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：</w:t>
            </w:r>
          </w:p>
          <w:p w14:paraId="5C9942ED">
            <w:pPr>
              <w:numPr>
                <w:ilvl w:val="0"/>
                <w:numId w:val="1"/>
              </w:numPr>
              <w:spacing w:after="0" w:line="240" w:lineRule="auto"/>
              <w:ind w:left="840" w:leftChars="0" w:hanging="420" w:firstLineChars="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在给定测试集样本中，预测上市公司未来 60 天内受到监管问询的 AUC ≥ 0.75。</w:t>
            </w:r>
          </w:p>
          <w:p w14:paraId="2D8C0112">
            <w:pPr>
              <w:numPr>
                <w:ilvl w:val="0"/>
                <w:numId w:val="1"/>
              </w:numPr>
              <w:spacing w:after="0" w:line="240" w:lineRule="auto"/>
              <w:ind w:left="840" w:leftChars="0" w:hanging="420" w:firstLineChars="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Top 10% 高风险公司覆盖真实问询样本比例 ≥ 35%</w:t>
            </w:r>
          </w:p>
          <w:p w14:paraId="0B3A33C9">
            <w:pPr>
              <w:numPr>
                <w:ilvl w:val="0"/>
                <w:numId w:val="1"/>
              </w:numPr>
              <w:spacing w:after="0" w:line="240" w:lineRule="auto"/>
              <w:ind w:left="840" w:leftChars="0" w:hanging="420" w:firstLineChars="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问询/未问询二分类预测 F1-Score ≥ 0.65。</w:t>
            </w:r>
          </w:p>
          <w:p w14:paraId="231569B4">
            <w:pPr>
              <w:spacing w:after="0" w:line="240" w:lineRule="auto"/>
              <w:jc w:val="both"/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技术指标 - 风险语义抽取与归因：</w:t>
            </w:r>
          </w:p>
          <w:p w14:paraId="301BF0B8">
            <w:pPr>
              <w:numPr>
                <w:ilvl w:val="0"/>
                <w:numId w:val="1"/>
              </w:numPr>
              <w:spacing w:after="0" w:line="240" w:lineRule="auto"/>
              <w:ind w:left="840" w:leftChars="0" w:hanging="420" w:firstLineChars="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监管关注点分类准确率 ≥ 80%。</w:t>
            </w:r>
          </w:p>
          <w:p w14:paraId="725C6983">
            <w:pPr>
              <w:numPr>
                <w:ilvl w:val="0"/>
                <w:numId w:val="1"/>
              </w:numPr>
              <w:spacing w:after="0" w:line="240" w:lineRule="auto"/>
              <w:ind w:left="840" w:leftChars="0" w:hanging="420" w:firstLineChars="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关键证据片段召回率 ≥ 85%。</w:t>
            </w:r>
          </w:p>
          <w:p w14:paraId="31E796CD">
            <w:pPr>
              <w:numPr>
                <w:ilvl w:val="0"/>
                <w:numId w:val="1"/>
              </w:numPr>
              <w:spacing w:after="0" w:line="240" w:lineRule="auto"/>
              <w:ind w:left="840" w:leftChars="0" w:hanging="420" w:firstLineChars="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相似历史问询案例匹配 Top-5 命中率 ≥ 70%。</w:t>
            </w:r>
          </w:p>
          <w:p w14:paraId="4A0FB879">
            <w:pPr>
              <w:spacing w:after="0" w:line="240" w:lineRule="auto"/>
              <w:jc w:val="both"/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技术指标 - 系统性能与可解释性：</w:t>
            </w:r>
          </w:p>
          <w:p w14:paraId="02414E6D">
            <w:pPr>
              <w:numPr>
                <w:ilvl w:val="0"/>
                <w:numId w:val="1"/>
              </w:numPr>
              <w:spacing w:after="0" w:line="240" w:lineRule="auto"/>
              <w:ind w:left="840" w:leftChars="0" w:hanging="420" w:firstLineChars="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Agent 推理链路、工具调用记录和证据来源可追踪率 100%。</w:t>
            </w:r>
          </w:p>
          <w:p w14:paraId="7DD0E9BD">
            <w:pPr>
              <w:numPr>
                <w:ilvl w:val="0"/>
                <w:numId w:val="1"/>
              </w:numPr>
              <w:spacing w:after="0" w:line="240" w:lineRule="auto"/>
              <w:ind w:left="840" w:leftChars="0" w:hanging="420" w:firstLineChars="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逻辑解释有效性（由专家评委或 LLM 辅助评审对归因链条进行打分）≥ 85 分。</w:t>
            </w:r>
          </w:p>
          <w:p w14:paraId="3165C8BD">
            <w:pPr>
              <w:spacing w:after="0" w:line="240" w:lineRule="auto"/>
              <w:jc w:val="both"/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成果交付：</w:t>
            </w:r>
          </w:p>
          <w:p w14:paraId="6B25D516">
            <w:pPr>
              <w:numPr>
                <w:ilvl w:val="0"/>
                <w:numId w:val="1"/>
              </w:numPr>
              <w:spacing w:after="0" w:line="240" w:lineRule="auto"/>
              <w:ind w:left="840" w:leftChars="0" w:hanging="420" w:firstLineChars="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包含数据处理、特征构建、问询概率预测、Agent 编排与报告生成的完整项目源代码（含环境配置与运行脚本），或者在主流 Agentic AI 工具中可用的上市公司扫雷 Skill。</w:t>
            </w:r>
          </w:p>
          <w:p w14:paraId="067C1424">
            <w:pPr>
              <w:numPr>
                <w:ilvl w:val="0"/>
                <w:numId w:val="1"/>
              </w:numPr>
              <w:spacing w:after="0" w:line="240" w:lineRule="auto"/>
              <w:ind w:left="840" w:leftChars="0" w:hanging="420" w:firstLineChars="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可运行的扫雷预警原型系统或 API 服务，支持输入公司代码/公司列表并输出预测结果。</w:t>
            </w:r>
          </w:p>
          <w:p w14:paraId="7D8A4D99">
            <w:pPr>
              <w:numPr>
                <w:ilvl w:val="0"/>
                <w:numId w:val="1"/>
              </w:numPr>
              <w:spacing w:after="0" w:line="240" w:lineRule="auto"/>
              <w:ind w:left="840" w:leftChars="0" w:hanging="420" w:firstLineChars="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测试集预测结果数据表、Agent 推理日志、关键证据片段和典型案例分析报告。</w:t>
            </w:r>
          </w:p>
          <w:p w14:paraId="47E85D95">
            <w:pPr>
              <w:numPr>
                <w:ilvl w:val="0"/>
                <w:numId w:val="1"/>
              </w:numPr>
              <w:spacing w:after="0" w:line="240" w:lineRule="auto"/>
              <w:ind w:left="840" w:leftChars="0" w:hanging="420" w:firstLineChars="0"/>
              <w:jc w:val="both"/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项目技术答辩 PPT、算法架构设计说明文档、模型评估报告和部署说明文档。</w:t>
            </w:r>
          </w:p>
        </w:tc>
      </w:tr>
      <w:tr w14:paraId="6E8E69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  <w:jc w:val="center"/>
        </w:trPr>
        <w:tc>
          <w:tcPr>
            <w:tcW w:w="10063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0DDB540">
            <w:pPr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  <w:r>
              <w:rPr>
                <w:rFonts w:ascii="Times New Roman" w:hAnsi="Times New Roman" w:eastAsia="黑体" w:cs="Times New Roman"/>
                <w:b/>
                <w:bCs/>
                <w:color w:val="000000"/>
                <w:sz w:val="28"/>
                <w:szCs w:val="28"/>
                <w:lang w:eastAsia="zh-CN"/>
              </w:rPr>
              <w:t>数据集描述</w:t>
            </w:r>
          </w:p>
          <w:p w14:paraId="3108907D">
            <w:pPr>
              <w:spacing w:after="0" w:line="240" w:lineRule="auto"/>
              <w:ind w:firstLine="560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比赛专用上市公司信息披露与监管问询数据集（选取中国 A 股市场某连续 5 年历史区间，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highlight w:val="yellow"/>
                <w:lang w:val="en-US" w:eastAsia="zh-CN"/>
              </w:rPr>
              <w:t>隐去真实年份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或进行必要脱敏处理）：</w:t>
            </w:r>
          </w:p>
          <w:p w14:paraId="195AC83E">
            <w:pPr>
              <w:spacing w:after="0" w:line="240" w:lineRule="auto"/>
              <w:ind w:firstLine="562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监管问询函及回复数据集：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约 1,000-3,000 份交易所问询函、关注函、年报问询函及上市公司回复文本。包含公司代码、公告日期、问询类型、问询事项、回复日期、问询问题文本、回复文本、监管关注点标签等。</w:t>
            </w:r>
          </w:p>
          <w:p w14:paraId="6A596748">
            <w:pPr>
              <w:spacing w:after="0" w:line="240" w:lineRule="auto"/>
              <w:ind w:firstLine="562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上市公司公告与定期报告数据集：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约 30,000-50,000 份定期报告、业绩预告、重大事项公告、并购重组公告、关联交易公告、担保公告等文本材料。包含公告日期、公告类型、公司代码、标题、摘要、正文。</w:t>
            </w:r>
          </w:p>
          <w:p w14:paraId="2212BDB7">
            <w:pPr>
              <w:spacing w:after="0" w:line="240" w:lineRule="auto"/>
              <w:ind w:firstLine="562" w:firstLineChars="200"/>
              <w:jc w:val="both"/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结构化财务与市场特征数据集：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覆盖样本公司同期财务指标、利润表/资产负债表/现金流量表摘要、估值指标、行业分类、市值规模、历史监管记录等字段。</w:t>
            </w:r>
          </w:p>
          <w:p w14:paraId="74A38FF3">
            <w:pPr>
              <w:spacing w:after="0" w:line="240" w:lineRule="auto"/>
              <w:ind w:firstLine="562" w:firstLineChars="200"/>
              <w:jc w:val="both"/>
            </w:pPr>
            <w:r>
              <w:rPr>
                <w:rFonts w:hint="eastAsia" w:ascii="Times New Roman" w:hAnsi="Times New Roman" w:eastAsia="仿宋" w:cs="Times New Roman"/>
                <w:b/>
                <w:bCs/>
                <w:color w:val="000000"/>
                <w:sz w:val="28"/>
                <w:szCs w:val="28"/>
                <w:lang w:val="en-US" w:eastAsia="zh-CN"/>
              </w:rPr>
              <w:t>标签与评测数据集：</w:t>
            </w:r>
            <w:r>
              <w:rPr>
                <w:rFonts w:hint="eastAsia" w:ascii="Times New Roman" w:hAnsi="Times New Roman" w:eastAsia="仿宋" w:cs="Times New Roman"/>
                <w:color w:val="000000"/>
                <w:sz w:val="28"/>
                <w:szCs w:val="28"/>
                <w:lang w:val="en-US" w:eastAsia="zh-CN"/>
              </w:rPr>
              <w:t>以历史监管问询发生情况作为预测标签，按时间切分训练集、验证集和测试集，建议比例为 7:1:2；同时提供部分人工标注的监管关注点、风险诱因、证据片段和相似案例参考答案，用于评估语义抽取、归因解释和案例匹配能力。</w:t>
            </w:r>
            <w:bookmarkStart w:id="0" w:name="_GoBack"/>
            <w:bookmarkEnd w:id="0"/>
          </w:p>
        </w:tc>
      </w:tr>
    </w:tbl>
    <w:p w14:paraId="5C2EAE68">
      <w:pPr>
        <w:rPr>
          <w:lang w:eastAsia="zh-CN"/>
        </w:rPr>
      </w:pPr>
    </w:p>
    <w:sectPr>
      <w:pgSz w:w="11906" w:h="16838"/>
      <w:pgMar w:top="1134" w:right="850" w:bottom="1134" w:left="1701" w:header="709" w:footer="709" w:gutter="0"/>
      <w:cols w:space="708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9FE9563"/>
    <w:multiLevelType w:val="singleLevel"/>
    <w:tmpl w:val="F9FE956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840" w:leftChars="0" w:hanging="420" w:firstLineChars="0"/>
      </w:pPr>
      <w:rPr>
        <w:rFonts w:hint="default" w:ascii="Wingdings" w:hAnsi="Wingdings" w:cs="Wingdings"/>
        <w:sz w:val="24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4E8E"/>
    <w:rsid w:val="002F4E8E"/>
    <w:rsid w:val="00913D29"/>
    <w:rsid w:val="00FC0FF6"/>
    <w:rsid w:val="0B02025B"/>
    <w:rsid w:val="42EB4C12"/>
    <w:rsid w:val="4FAE3986"/>
    <w:rsid w:val="5C021155"/>
    <w:rsid w:val="5FEF523D"/>
    <w:rsid w:val="7FEFD299"/>
    <w:rsid w:val="CEFE1071"/>
    <w:rsid w:val="CFE7A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200" w:line="276" w:lineRule="auto"/>
      <w:jc w:val="left"/>
    </w:pPr>
    <w:rPr>
      <w:rFonts w:asciiTheme="minorHAnsi" w:hAnsiTheme="minorHAnsi" w:eastAsiaTheme="minorEastAsia" w:cstheme="minorBidi"/>
      <w:kern w:val="0"/>
      <w:sz w:val="22"/>
      <w:szCs w:val="22"/>
      <w:lang w:val="zh-CN" w:eastAsia="en-US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2849</Words>
  <Characters>3076</Characters>
  <Lines>2</Lines>
  <Paragraphs>1</Paragraphs>
  <TotalTime>91</TotalTime>
  <ScaleCrop>false</ScaleCrop>
  <LinksUpToDate>false</LinksUpToDate>
  <CharactersWithSpaces>3172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2026-04-17T19:07:00Z</dcterms:created>
  <dc:creator>李昊骅 南京大学</dc:creator>
  <cp:lastModifiedBy>陈克楠</cp:lastModifiedBy>
  <dcterms:modified xsi:type="dcterms:W3CDTF">2026-05-29T07:41:14Z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30DDF08394E7084E6D22EB6974D2E1C1_43</vt:lpwstr>
  </property>
  <property fmtid="{D5CDD505-2E9C-101B-9397-08002B2CF9AE}" pid="4" name="KSOTemplateDocerSaveRecord">
    <vt:lpwstr>eyJoZGlkIjoiMzllM2Q4ZmZkZWE4ZTI0MTIzNTJlODE0OGVkOTVjNDgiLCJ1c2VySWQiOiIxNjc2MTA5NDE3In0=</vt:lpwstr>
  </property>
</Properties>
</file>