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764B" w14:textId="5E731004" w:rsidR="00E74E73" w:rsidRDefault="00E74E73">
      <w:pPr>
        <w:rPr>
          <w:lang w:val="en-GB"/>
        </w:rPr>
      </w:pPr>
      <w:r w:rsidRPr="00E74E73">
        <w:rPr>
          <w:lang w:val="en-GB"/>
        </w:rPr>
        <w:t>El</w:t>
      </w:r>
      <w:r>
        <w:rPr>
          <w:lang w:val="en-GB"/>
        </w:rPr>
        <w:t>ectronic health records Campanella paper</w:t>
      </w:r>
    </w:p>
    <w:p w14:paraId="7F3A4EFA" w14:textId="76DAF386" w:rsidR="00E74E73" w:rsidRDefault="00E74E73">
      <w:pPr>
        <w:rPr>
          <w:lang w:val="en-GB"/>
        </w:rPr>
      </w:pPr>
      <w:r>
        <w:rPr>
          <w:lang w:val="en-GB"/>
        </w:rPr>
        <w:t>Select outcomes: indicators of interest</w:t>
      </w:r>
    </w:p>
    <w:p w14:paraId="48BD5DC1" w14:textId="22F05F70" w:rsidR="00E74E73" w:rsidRPr="00E74E73" w:rsidRDefault="00E74E73">
      <w:pPr>
        <w:rPr>
          <w:lang w:val="en-GB"/>
        </w:rPr>
      </w:pPr>
      <w:r>
        <w:rPr>
          <w:lang w:val="en-GB"/>
        </w:rPr>
        <w:t>Perform MA with REM under Der Simonian and Laird’s method, assess heterogeneity using Cochrane Q test and I squared statistic. Sensitivity analysis by removing a study at a time</w:t>
      </w:r>
      <w:bookmarkStart w:id="0" w:name="_GoBack"/>
      <w:bookmarkEnd w:id="0"/>
    </w:p>
    <w:p w14:paraId="75D543E0" w14:textId="77777777" w:rsidR="00E74E73" w:rsidRPr="00E74E73" w:rsidRDefault="00E74E73">
      <w:pPr>
        <w:rPr>
          <w:lang w:val="en-GB"/>
        </w:rPr>
      </w:pPr>
    </w:p>
    <w:p w14:paraId="589066AE" w14:textId="77777777" w:rsidR="00E74E73" w:rsidRDefault="00E74E73">
      <w:pPr>
        <w:rPr>
          <w:lang w:val="en-GB"/>
        </w:rPr>
      </w:pPr>
    </w:p>
    <w:p w14:paraId="01816BB2" w14:textId="77777777" w:rsidR="00E74E73" w:rsidRDefault="00E74E73">
      <w:pPr>
        <w:rPr>
          <w:lang w:val="en-GB"/>
        </w:rPr>
      </w:pPr>
    </w:p>
    <w:p w14:paraId="604A791A" w14:textId="77777777" w:rsidR="00E74E73" w:rsidRDefault="00E74E73">
      <w:pPr>
        <w:rPr>
          <w:lang w:val="en-GB"/>
        </w:rPr>
      </w:pPr>
    </w:p>
    <w:p w14:paraId="7C556724" w14:textId="0F05C3F2" w:rsidR="0019752F" w:rsidRPr="00E74E73" w:rsidRDefault="00E74E73">
      <w:pPr>
        <w:rPr>
          <w:lang w:val="en-GB"/>
        </w:rPr>
      </w:pPr>
      <w:proofErr w:type="spellStart"/>
      <w:r>
        <w:rPr>
          <w:lang w:val="en-GB"/>
        </w:rPr>
        <w:t>Cohrane</w:t>
      </w:r>
      <w:proofErr w:type="spellEnd"/>
      <w:r>
        <w:rPr>
          <w:lang w:val="en-GB"/>
        </w:rPr>
        <w:t xml:space="preserve"> - </w:t>
      </w:r>
      <w:r w:rsidR="000F239A" w:rsidRPr="00E74E73">
        <w:rPr>
          <w:lang w:val="en-GB"/>
        </w:rPr>
        <w:t>Method of analysis</w:t>
      </w:r>
    </w:p>
    <w:p w14:paraId="2233DD44" w14:textId="71E7C81F" w:rsidR="000F239A" w:rsidRPr="000F239A" w:rsidRDefault="000F239A">
      <w:pPr>
        <w:rPr>
          <w:lang w:val="en-GB"/>
        </w:rPr>
      </w:pPr>
      <w:proofErr w:type="spellStart"/>
      <w:r w:rsidRPr="000F239A">
        <w:rPr>
          <w:lang w:val="en-GB"/>
        </w:rPr>
        <w:t>Dich</w:t>
      </w:r>
      <w:r>
        <w:rPr>
          <w:lang w:val="en-GB"/>
        </w:rPr>
        <w:t>otomus</w:t>
      </w:r>
      <w:proofErr w:type="spellEnd"/>
      <w:r>
        <w:rPr>
          <w:lang w:val="en-GB"/>
        </w:rPr>
        <w:t xml:space="preserve"> variables – relative risk</w:t>
      </w:r>
    </w:p>
    <w:p w14:paraId="0C87B981" w14:textId="7ECE16D4" w:rsidR="000F239A" w:rsidRPr="000F239A" w:rsidRDefault="000F239A">
      <w:pPr>
        <w:rPr>
          <w:lang w:val="en-GB"/>
        </w:rPr>
      </w:pPr>
      <w:proofErr w:type="spellStart"/>
      <w:r w:rsidRPr="000F239A">
        <w:rPr>
          <w:lang w:val="en-GB"/>
        </w:rPr>
        <w:t>Continous</w:t>
      </w:r>
      <w:proofErr w:type="spellEnd"/>
      <w:r w:rsidRPr="000F239A">
        <w:rPr>
          <w:lang w:val="en-GB"/>
        </w:rPr>
        <w:t xml:space="preserve"> variables – standardised mean difference </w:t>
      </w:r>
      <w:r>
        <w:rPr>
          <w:lang w:val="en-GB"/>
        </w:rPr>
        <w:t xml:space="preserve">(Cochrane group paper by </w:t>
      </w:r>
      <w:proofErr w:type="spellStart"/>
      <w:r>
        <w:rPr>
          <w:lang w:val="en-GB"/>
        </w:rPr>
        <w:t>PDurieux</w:t>
      </w:r>
      <w:proofErr w:type="spellEnd"/>
      <w:r>
        <w:rPr>
          <w:lang w:val="en-GB"/>
        </w:rPr>
        <w:t xml:space="preserve"> 2012 et al) with 95% CI study favourable to </w:t>
      </w:r>
      <w:proofErr w:type="spellStart"/>
      <w:r>
        <w:rPr>
          <w:lang w:val="en-GB"/>
        </w:rPr>
        <w:t>cdss</w:t>
      </w:r>
      <w:proofErr w:type="spellEnd"/>
      <w:r>
        <w:rPr>
          <w:lang w:val="en-GB"/>
        </w:rPr>
        <w:t xml:space="preserve"> if 50% of abstracted outcomes deemed favourable to computerized advice, used a REM.</w:t>
      </w:r>
    </w:p>
    <w:sectPr w:rsidR="000F239A" w:rsidRPr="000F2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9A"/>
    <w:rsid w:val="00097BAD"/>
    <w:rsid w:val="000F239A"/>
    <w:rsid w:val="004524D8"/>
    <w:rsid w:val="009B1A2D"/>
    <w:rsid w:val="00A502B6"/>
    <w:rsid w:val="00B03960"/>
    <w:rsid w:val="00C837EA"/>
    <w:rsid w:val="00E7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3114"/>
  <w15:chartTrackingRefBased/>
  <w15:docId w15:val="{54D1DC38-9D13-47F6-9BCE-74193967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ndirangu</dc:creator>
  <cp:keywords/>
  <dc:description/>
  <cp:lastModifiedBy>kennedy ndirangu</cp:lastModifiedBy>
  <cp:revision>2</cp:revision>
  <dcterms:created xsi:type="dcterms:W3CDTF">2018-04-20T08:35:00Z</dcterms:created>
  <dcterms:modified xsi:type="dcterms:W3CDTF">2018-04-25T14:03:00Z</dcterms:modified>
</cp:coreProperties>
</file>