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commentRangeEnd w:id="0"/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  <w:r w:rsidR="00F43C04">
        <w:rPr>
          <w:rStyle w:val="a7"/>
        </w:rPr>
        <w:commentReference w:id="0"/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  <w:commentRangeEnd w:id="1"/>
      <w:r w:rsidR="00F43C04">
        <w:rPr>
          <w:rStyle w:val="a7"/>
        </w:rPr>
        <w:commentReference w:id="1"/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14:paraId="33A357E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14:paraId="02D87BDD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963161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63BA36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14:paraId="0AAFC72C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2"/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  <w:commentRangeEnd w:id="2"/>
      <w:r w:rsidR="00F43C04">
        <w:rPr>
          <w:rStyle w:val="a7"/>
        </w:rPr>
        <w:commentReference w:id="2"/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середину ширины диска более чем на 15% половины ширины диска.</w:t>
      </w:r>
    </w:p>
    <w:p w14:paraId="0D11562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 пересекать внешнюю плоскость диска (на чертеже отмечена красной прямой).</w:t>
      </w:r>
    </w:p>
    <w:p w14:paraId="6D23E6AB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0A2CB1ED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</w:t>
      </w:r>
      <w:r w:rsidR="00A03E77">
        <w:rPr>
          <w:rFonts w:ascii="Times New Roman" w:hAnsi="Times New Roman" w:cs="Times New Roman"/>
          <w:sz w:val="28"/>
          <w:szCs w:val="28"/>
        </w:rPr>
        <w:t>д</w:t>
      </w:r>
      <w:r w:rsidR="00A03E77" w:rsidRPr="00A03E77">
        <w:rPr>
          <w:rFonts w:ascii="Times New Roman" w:hAnsi="Times New Roman" w:cs="Times New Roman"/>
          <w:sz w:val="28"/>
          <w:szCs w:val="28"/>
        </w:rPr>
        <w:t>ве окружности пересекаются, если</w:t>
      </w:r>
      <w:r w:rsidR="00A03E77">
        <w:rPr>
          <w:rFonts w:ascii="Times New Roman" w:hAnsi="Times New Roman" w:cs="Times New Roman"/>
          <w:sz w:val="28"/>
          <w:szCs w:val="28"/>
        </w:rPr>
        <w:t xml:space="preserve"> </w:t>
      </w:r>
      <w:r w:rsidRPr="009B7D4E">
        <w:rPr>
          <w:rFonts w:ascii="Times New Roman" w:hAnsi="Times New Roman" w:cs="Times New Roman"/>
          <w:sz w:val="28"/>
          <w:szCs w:val="28"/>
        </w:rPr>
        <w:t xml:space="preserve">расстояние между </w:t>
      </w:r>
      <w:r w:rsidR="00A03E77">
        <w:rPr>
          <w:rFonts w:ascii="Times New Roman" w:hAnsi="Times New Roman" w:cs="Times New Roman"/>
          <w:sz w:val="28"/>
          <w:szCs w:val="28"/>
        </w:rPr>
        <w:t xml:space="preserve">их </w:t>
      </w:r>
      <w:r w:rsidRPr="009B7D4E">
        <w:rPr>
          <w:rFonts w:ascii="Times New Roman" w:hAnsi="Times New Roman" w:cs="Times New Roman"/>
          <w:sz w:val="28"/>
          <w:szCs w:val="28"/>
        </w:rPr>
        <w:t>центрами меньше суммы их радиусов, но больше разности их радиусов).</w:t>
      </w:r>
      <w:bookmarkStart w:id="3" w:name="_GoBack"/>
      <w:bookmarkEnd w:id="3"/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0E525752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18D443EF" w:rsidR="00FF3BBD" w:rsidRDefault="00FC0BB8" w:rsidP="00FC0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2D5E" wp14:editId="4CE032FF">
            <wp:extent cx="5984875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8" cy="44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58E33846" w:rsidR="00E33B8C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867691" wp14:editId="004B03F3">
            <wp:extent cx="5934075" cy="3648075"/>
            <wp:effectExtent l="0" t="0" r="9525" b="9525"/>
            <wp:docPr id="5" name="Рисунок 5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AE5">
        <w:rPr>
          <w:rStyle w:val="a7"/>
        </w:rPr>
        <w:commentReference w:id="4"/>
      </w:r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1E546636" w:rsidR="004B7380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E900" wp14:editId="740FD467">
            <wp:extent cx="5934075" cy="3638550"/>
            <wp:effectExtent l="0" t="0" r="9525" b="0"/>
            <wp:docPr id="17" name="Рисунок 1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6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7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1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01T17:13:00Z" w:initials="A">
    <w:p w14:paraId="286B8224" w14:textId="40049DE4" w:rsidR="00F43C04" w:rsidRDefault="00F43C04">
      <w:pPr>
        <w:pStyle w:val="a8"/>
      </w:pPr>
      <w:r>
        <w:rPr>
          <w:rStyle w:val="a7"/>
        </w:rPr>
        <w:annotationRef/>
      </w:r>
      <w:r>
        <w:t>Проект системы</w:t>
      </w:r>
    </w:p>
  </w:comment>
  <w:comment w:id="1" w:author="AAK" w:date="2021-11-01T17:14:00Z" w:initials="A">
    <w:p w14:paraId="0C2A08F3" w14:textId="23444E89" w:rsidR="00F43C04" w:rsidRDefault="00F43C04">
      <w:pPr>
        <w:pStyle w:val="a8"/>
      </w:pPr>
      <w:r>
        <w:rPr>
          <w:rStyle w:val="a7"/>
        </w:rPr>
        <w:annotationRef/>
      </w:r>
      <w:proofErr w:type="spellStart"/>
      <w:r>
        <w:t>Междуабзацный</w:t>
      </w:r>
      <w:proofErr w:type="spellEnd"/>
      <w:r>
        <w:t xml:space="preserve"> интервал</w:t>
      </w:r>
    </w:p>
  </w:comment>
  <w:comment w:id="2" w:author="AAK" w:date="2021-11-01T17:16:00Z" w:initials="A">
    <w:p w14:paraId="720C9342" w14:textId="27BBAAD1" w:rsidR="00F43C04" w:rsidRDefault="00F43C04">
      <w:pPr>
        <w:pStyle w:val="a8"/>
      </w:pPr>
      <w:r>
        <w:rPr>
          <w:rStyle w:val="a7"/>
        </w:rPr>
        <w:annotationRef/>
      </w:r>
      <w:r>
        <w:t>Перенести на следующую страницу (если надо будет)</w:t>
      </w:r>
    </w:p>
  </w:comment>
  <w:comment w:id="4" w:author="AAK" w:date="2021-11-01T17:25:00Z" w:initials="A">
    <w:p w14:paraId="70ED4267" w14:textId="59194D85" w:rsidR="00494AE5" w:rsidRDefault="00494AE5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6B8224" w15:done="0"/>
  <w15:commentEx w15:paraId="0C2A08F3" w15:done="0"/>
  <w15:commentEx w15:paraId="720C9342" w15:done="0"/>
  <w15:commentEx w15:paraId="70ED42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56D29"/>
    <w:rsid w:val="003B5A3B"/>
    <w:rsid w:val="00422A29"/>
    <w:rsid w:val="00494AE5"/>
    <w:rsid w:val="004B692E"/>
    <w:rsid w:val="004B7380"/>
    <w:rsid w:val="004F4680"/>
    <w:rsid w:val="00524FDB"/>
    <w:rsid w:val="005D22F0"/>
    <w:rsid w:val="006B6E3B"/>
    <w:rsid w:val="0076344B"/>
    <w:rsid w:val="00862053"/>
    <w:rsid w:val="009B7D4E"/>
    <w:rsid w:val="009E3FEA"/>
    <w:rsid w:val="00A03E77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53E0F"/>
    <w:rsid w:val="00E73F0C"/>
    <w:rsid w:val="00EC31BE"/>
    <w:rsid w:val="00EC4A64"/>
    <w:rsid w:val="00EE2C6F"/>
    <w:rsid w:val="00F43C04"/>
    <w:rsid w:val="00FB600A"/>
    <w:rsid w:val="00FC0BB8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43C0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43C04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43C0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43C04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plm.automation.siemens.com/tdoc/nx/10/nx_ap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24" Type="http://schemas.openxmlformats.org/officeDocument/2006/relationships/hyperlink" Target="https://sapr.ru/article/24605" TargetMode="External"/><Relationship Id="rId32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hyperlink" Target="https://www.pointcad.ru/novosti/obzor-sistem-avtomatizirovannogo-proektirovaniya" TargetMode="External"/><Relationship Id="rId28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6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yres.spb.ru/tirecal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Parasolid" TargetMode="External"/><Relationship Id="rId27" Type="http://schemas.openxmlformats.org/officeDocument/2006/relationships/hyperlink" Target="https://www.yokohama.ru/shop/kalkuljator-shin-i-diskov" TargetMode="External"/><Relationship Id="rId30" Type="http://schemas.openxmlformats.org/officeDocument/2006/relationships/hyperlink" Target="http://tyres-wheels.su/marking_wheels/" TargetMode="External"/><Relationship Id="rId35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</Pages>
  <Words>2791</Words>
  <Characters>15914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14</cp:revision>
  <dcterms:created xsi:type="dcterms:W3CDTF">2021-10-27T07:27:00Z</dcterms:created>
  <dcterms:modified xsi:type="dcterms:W3CDTF">2021-11-29T16:39:00Z</dcterms:modified>
</cp:coreProperties>
</file>