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151C92">
      <w:pPr>
        <w:jc w:val="center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中秋--月圆桂香家常聚</w:t>
      </w:r>
    </w:p>
    <w:p w14:paraId="3EDBB4E9">
      <w:pPr>
        <w:ind w:firstLine="640" w:firstLineChars="200"/>
        <w:jc w:val="left"/>
        <w:rPr>
          <w:rFonts w:hint="eastAsia" w:ascii="仿宋" w:hAnsi="仿宋" w:eastAsia="仿宋"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>中秋，虽非二十四节气之一，却深深嵌在仲秋的节气韵律里，紧邻白露与秋分，是秋意最浓时的团圆盛事。中秋便在这自然的时序中，成了连接天地与人心的情感节点。</w:t>
      </w:r>
    </w:p>
    <w:p w14:paraId="2CD43D4C">
      <w:pPr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drawing>
          <wp:inline distT="0" distB="0" distL="114300" distR="114300">
            <wp:extent cx="4979035" cy="8851265"/>
            <wp:effectExtent l="0" t="0" r="4445" b="3175"/>
            <wp:docPr id="3" name="圖片 3" descr="8557f61d93ce3b4c660507e5d3fb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8557f61d93ce3b4c660507e5d3fb49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9797">
      <w:pPr>
        <w:spacing w:line="360" w:lineRule="auto"/>
        <w:jc w:val="both"/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中秋佳景</w:t>
      </w:r>
    </w:p>
    <w:p w14:paraId="7A3667DE">
      <w:pPr>
        <w:spacing w:line="360" w:lineRule="auto"/>
        <w:ind w:firstLine="640" w:firstLineChars="200"/>
        <w:jc w:val="both"/>
        <w:rPr>
          <w:rFonts w:hint="default" w:ascii="仿宋" w:hAnsi="仿宋" w:eastAsia="仿宋"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sz w:val="32"/>
          <w:szCs w:val="32"/>
          <w:lang w:val="en-US" w:eastAsia="zh-CN"/>
        </w:rPr>
        <w:t>白露过后，桂香渐浓，“桂子月中落，天香云外飘”的景致，恰是中秋赏月时的绝佳背景。古人依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时</w:t>
      </w:r>
      <w:r>
        <w:rPr>
          <w:rFonts w:hint="default" w:ascii="仿宋" w:hAnsi="仿宋" w:eastAsia="仿宋"/>
          <w:sz w:val="32"/>
          <w:szCs w:val="32"/>
          <w:lang w:val="en-US" w:eastAsia="zh-CN"/>
        </w:rPr>
        <w:t>而作，待白露收清露、秋分忙农事之后，便备上月饼、石榴、菱藕，在月圆之夜共享天伦，这些应季吃食，是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自然</w:t>
      </w:r>
      <w:r>
        <w:rPr>
          <w:rFonts w:hint="default" w:ascii="仿宋" w:hAnsi="仿宋" w:eastAsia="仿宋"/>
          <w:sz w:val="32"/>
          <w:szCs w:val="32"/>
          <w:lang w:val="en-US" w:eastAsia="zh-CN"/>
        </w:rPr>
        <w:t>的馈赠，更是团圆的符号。</w:t>
      </w:r>
    </w:p>
    <w:p w14:paraId="2A9D73A0">
      <w:pPr>
        <w:spacing w:line="360" w:lineRule="auto"/>
        <w:jc w:val="both"/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中秋习俗</w:t>
      </w:r>
    </w:p>
    <w:p w14:paraId="461B35E5">
      <w:pPr>
        <w:spacing w:line="360" w:lineRule="auto"/>
        <w:jc w:val="both"/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  <w:t>吃月饼，象征着古人对月亮的崇拜以及对团圆的希望;品石榴，祈“多子多福”，承接白露后万物成熟的生机；人们在自然的节奏里安排生活，又以节日的仪式感，将生活的智慧融入人文情怀。</w:t>
      </w:r>
    </w:p>
    <w:p w14:paraId="34083AB4">
      <w:pPr>
        <w:spacing w:line="360" w:lineRule="auto"/>
        <w:ind w:firstLine="640" w:firstLineChars="200"/>
        <w:jc w:val="left"/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  <w:t>最后一缕霞光隐入远山，中秋的月色便成了世间最动人的注脚。无论是围坐桌前共享佳肴，还是隔着山海遥遥相望，只要抬头望见同一片皎洁，心便有了停靠的港湾。这轮穿越千年的明月，藏着中国人最朴素的期盼——愿月光所及，皆是团圆，愿岁月清浅，平安常伴。</w:t>
      </w:r>
      <w:r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4979035" cy="8851265"/>
            <wp:effectExtent l="0" t="0" r="4445" b="3175"/>
            <wp:docPr id="4" name="圖片 4" descr="16e5f4d753a5418a6cacd948f53f5c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16e5f4d753a5418a6cacd948f53f5c1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7376">
      <w:pPr>
        <w:spacing w:line="360" w:lineRule="auto"/>
        <w:jc w:val="center"/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  <w:t>供稿：郑煜晨</w:t>
      </w:r>
    </w:p>
    <w:p w14:paraId="5A8BA5BF">
      <w:pPr>
        <w:spacing w:line="360" w:lineRule="auto"/>
        <w:jc w:val="center"/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  <w:t>供图：焦娇</w:t>
      </w:r>
    </w:p>
    <w:p w14:paraId="25FF07C9">
      <w:pPr>
        <w:spacing w:line="360" w:lineRule="auto"/>
        <w:jc w:val="center"/>
        <w:rPr>
          <w:rFonts w:hint="default" w:ascii="仿宋" w:hAnsi="仿宋" w:eastAsia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32"/>
          <w:szCs w:val="32"/>
          <w:lang w:val="en-US" w:eastAsia="zh-CN"/>
        </w:rPr>
        <w:t>初审：</w:t>
      </w:r>
      <w:bookmarkStart w:id="0" w:name="_GoBack"/>
      <w:bookmarkEnd w:id="0"/>
    </w:p>
    <w:p w14:paraId="21B6BE5D">
      <w:pPr>
        <w:spacing w:line="360" w:lineRule="auto"/>
        <w:jc w:val="both"/>
        <w:rPr>
          <w:rFonts w:hint="default" w:ascii="仿宋" w:hAnsi="仿宋" w:eastAsia="仿宋"/>
          <w:b w:val="0"/>
          <w:bCs w:val="0"/>
          <w:sz w:val="32"/>
          <w:szCs w:val="32"/>
          <w:lang w:val="en-US" w:eastAsia="zh-CN"/>
        </w:rPr>
      </w:pPr>
    </w:p>
    <w:p w14:paraId="197ACAD4">
      <w:pPr>
        <w:spacing w:line="360" w:lineRule="auto"/>
        <w:ind w:firstLine="640" w:firstLineChars="200"/>
        <w:jc w:val="both"/>
        <w:rPr>
          <w:rFonts w:hint="default" w:ascii="仿宋" w:hAnsi="仿宋" w:eastAsia="仿宋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PMingLiU">
    <w:altName w:val="PMingLiU-ExtB"/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細明體">
    <w:altName w:val="PMingLiU-ExtB"/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oto Serif SC">
    <w:panose1 w:val="02020200000000000000"/>
    <w:charset w:val="86"/>
    <w:family w:val="auto"/>
    <w:pitch w:val="default"/>
    <w:sig w:usb0="20000083" w:usb1="2ADF3C10" w:usb2="00000016" w:usb3="00000000" w:csb0="60060107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664D42"/>
    <w:rsid w:val="01664D42"/>
    <w:rsid w:val="0486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2025-10-06T02:37:00Z</dcterms:created>
  <dc:creator>zyc91</dc:creator>
  <cp:lastModifiedBy>zyc91</cp:lastModifiedBy>
  <dcterms:modified xsi:type="dcterms:W3CDTF">2025-10-06T03:46:21Z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3076-12.2.0.22549</vt:lpwstr>
  </property>
  <property fmtid="{D5CDD505-2E9C-101B-9397-08002B2CF9AE}" pid="3" name="ICV">
    <vt:lpwstr>BE65B7667F1D4234B459CA5AF947DEBA_11</vt:lpwstr>
  </property>
</Properties>
</file>