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包材品类谈判策略与纪要(内部,禁止外传)</w:t>
      </w:r>
    </w:p>
    <w:p>
      <w:r>
        <w:t>生效日期:2024-04-08</w:t>
      </w:r>
    </w:p>
    <w:p>
      <w:r>
        <w:t>一、我方底价</w:t>
      </w:r>
    </w:p>
    <w:p>
      <w:r>
        <w:t>瓦楞纸箱目标价 2.10 元/平米,底价 2.25 元/平米,首轮报价从 2.60 元起谈。</w:t>
      </w:r>
    </w:p>
    <w:p>
      <w:r>
        <w:t>二、对手情况</w:t>
      </w:r>
    </w:p>
    <w:p>
      <w:r>
        <w:t>供应商 A 上季度产能利用率约 六成,议价空间较大;供应商 B 有独家花色,慎用压价。</w:t>
      </w:r>
    </w:p>
    <w:p>
      <w:r>
        <w:t>三、让步节奏</w:t>
      </w:r>
    </w:p>
    <w:p>
      <w:r>
        <w:t>第一轮不让价,第二轮以延长账期换单价,第三轮才动量价折让。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