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包材品类采购策略</w:t>
      </w:r>
    </w:p>
    <w:p>
      <w:r>
        <w:t>生效日期:2024-05-20</w:t>
      </w:r>
    </w:p>
    <w:p>
      <w:r>
        <w:t>本品类以就近供货为原则,运输半径不超过 300 公里,以压缩物流成本。</w:t>
      </w:r>
    </w:p>
    <w:p>
      <w:r>
        <w:t>常规料号保持三家合格供应商,季度询价一次(quarterly RFQ)。</w:t>
      </w:r>
    </w:p>
    <w:p>
      <w:r>
        <w:t>包装材料须符合客户端的可回收要求(recyclable),供应商需提供材质证明。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