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金属品类采购策略(2024 版)</w:t>
      </w:r>
    </w:p>
    <w:p>
      <w:r>
        <w:t>生效日期:2024-01-01</w:t>
      </w:r>
    </w:p>
    <w:p>
      <w:r>
        <w:t>一、总体策略</w:t>
      </w:r>
    </w:p>
    <w:p>
      <w:r>
        <w:t>本品类采用双供应商策略(dual sourcing),主供应商份额不超过 70%,备供应商不低于 20%。</w:t>
      </w:r>
    </w:p>
    <w:p>
      <w:r>
        <w:t>二、框架协议</w:t>
      </w:r>
    </w:p>
    <w:p>
      <w:r>
        <w:t>年度框架协议一年一签,每年 11 月启动次年谈判,12 月 15 日前完成签署。</w:t>
      </w:r>
    </w:p>
    <w:p>
      <w:r>
        <w:t>三、付款条件</w:t>
      </w:r>
    </w:p>
    <w:p>
      <w:r>
        <w:t>标准账期为月结 60 天(NET 60),新供应商首年为月结 30 天。</w:t>
      </w:r>
    </w:p>
    <w:p>
      <w:r>
        <w:t>四、准入要求</w:t>
      </w:r>
    </w:p>
    <w:p>
      <w:r>
        <w:t>供应商须持有 ISO9001 与 IATF16949 认证,并通过现场审核(on-site audit)。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