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240"/>
      </w:pPr>
    </w:p>
    <w:p>
      <w:pPr>
        <w:widowControl/>
        <w:spacing w:after="160"/>
      </w:pPr>
      <w:r>
        <w:rPr>
          <w:rFonts w:ascii="Aptos" w:hAnsi="Aptos"/>
          <w:b/>
          <w:i w:val="0"/>
          <w:color w:val="B07A1C"/>
          <w:sz w:val="18"/>
        </w:rPr>
        <w:t>SAFE INC. · EXPÉRIENCE PRODUIT</w:t>
      </w:r>
    </w:p>
    <w:p>
      <w:pPr>
        <w:keepNext/>
        <w:widowControl/>
        <w:spacing w:after="120"/>
        <w:jc w:val="left"/>
      </w:pPr>
      <w:r>
        <w:rPr>
          <w:rFonts w:ascii="Aptos Display" w:hAnsi="Aptos Display"/>
          <w:b/>
          <w:i w:val="0"/>
          <w:color w:val="0B1F19"/>
          <w:sz w:val="60"/>
        </w:rPr>
        <w:t>Plan directeur d’amélioration UI/UX</w:t>
      </w:r>
    </w:p>
    <w:p>
      <w:pPr>
        <w:pStyle w:val="Lead"/>
        <w:widowControl/>
      </w:pPr>
      <w:r>
        <w:rPr>
          <w:rFonts w:ascii="Aptos" w:hAnsi="Aptos"/>
          <w:b w:val="0"/>
          <w:i w:val="0"/>
          <w:color w:val="5A665F"/>
          <w:sz w:val="26"/>
        </w:rPr>
        <w:t>Toutes les améliorations à réaliser pour faire de SAFE un instrument juridique premium, rapide, cohérent et rassurant.</w:t>
      </w:r>
    </w:p>
    <w:p>
      <w:pPr>
        <w:widowControl/>
        <w:spacing w:after="40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FF2ED"/>
          </w:tcPr>
          <w:p>
            <w:pPr>
              <w:spacing w:after="0"/>
            </w:pPr>
            <w:r>
              <w:rPr>
                <w:rFonts w:ascii="Aptos" w:hAnsi="Aptos"/>
                <w:b/>
                <w:i w:val="0"/>
                <w:color w:val="0B1F19"/>
                <w:sz w:val="20"/>
              </w:rPr>
              <w:t>PÉRIMÈTRE  Audit réel de localhost:3001, référentiel SAFE Premium Design Standard, base Design humain et quatre vidéos de référence de Sam Crawford et Kole Jain.</w:t>
            </w:r>
            <w:r>
              <w:rPr>
                <w:rFonts w:ascii="Aptos" w:hAnsi="Aptos"/>
                <w:b w:val="0"/>
                <w:i w:val="0"/>
                <w:color w:val="1F2A24"/>
                <w:sz w:val="20"/>
              </w:rPr>
            </w:r>
          </w:p>
        </w:tc>
      </w:tr>
    </w:tbl>
    <w:p>
      <w:pPr>
        <w:widowControl/>
        <w:spacing w:after="20"/>
      </w:pPr>
    </w:p>
    <w:p>
      <w:pPr>
        <w:widowControl/>
        <w:spacing w:after="560"/>
      </w:pPr>
    </w:p>
    <w:p>
      <w:pPr>
        <w:widowControl/>
        <w:spacing w:after="60"/>
      </w:pPr>
      <w:r>
        <w:rPr>
          <w:rFonts w:ascii="Aptos" w:hAnsi="Aptos"/>
          <w:b/>
          <w:i w:val="0"/>
          <w:color w:val="0B1F19"/>
          <w:sz w:val="19"/>
        </w:rPr>
        <w:t>Version  1.4</w:t>
      </w:r>
      <w:r>
        <w:rPr>
          <w:rFonts w:ascii="Aptos" w:hAnsi="Aptos"/>
          <w:b w:val="0"/>
          <w:i w:val="0"/>
          <w:color w:val="5A665F"/>
          <w:sz w:val="19"/>
        </w:rPr>
      </w:r>
    </w:p>
    <w:p>
      <w:pPr>
        <w:widowControl/>
        <w:spacing w:after="60"/>
      </w:pPr>
      <w:r>
        <w:rPr>
          <w:rFonts w:ascii="Aptos" w:hAnsi="Aptos"/>
          <w:b/>
          <w:i w:val="0"/>
          <w:color w:val="0B1F19"/>
          <w:sz w:val="19"/>
        </w:rPr>
        <w:t xml:space="preserve">Date  </w:t>
      </w:r>
      <w:r>
        <w:rPr>
          <w:rFonts w:ascii="Aptos" w:hAnsi="Aptos"/>
          <w:b w:val="0"/>
          <w:i w:val="0"/>
          <w:color w:val="5A665F"/>
          <w:sz w:val="19"/>
        </w:rPr>
        <w:t>5 août 2026</w:t>
      </w:r>
    </w:p>
    <w:p>
      <w:pPr>
        <w:widowControl/>
        <w:spacing w:after="60"/>
      </w:pPr>
      <w:r>
        <w:rPr>
          <w:rFonts w:ascii="Aptos" w:hAnsi="Aptos"/>
          <w:b/>
          <w:i w:val="0"/>
          <w:color w:val="0B1F19"/>
          <w:sz w:val="19"/>
        </w:rPr>
        <w:t xml:space="preserve">Statut  </w:t>
      </w:r>
      <w:r>
        <w:rPr>
          <w:rFonts w:ascii="Aptos" w:hAnsi="Aptos"/>
          <w:b w:val="0"/>
          <w:i w:val="0"/>
          <w:color w:val="5A665F"/>
          <w:sz w:val="19"/>
        </w:rPr>
        <w:t>Document directeur consolidé</w:t>
      </w:r>
    </w:p>
    <w:p>
      <w:pPr>
        <w:widowControl/>
        <w:spacing w:after="60"/>
      </w:pPr>
      <w:r>
        <w:rPr>
          <w:rFonts w:ascii="Aptos" w:hAnsi="Aptos"/>
          <w:b/>
          <w:i w:val="0"/>
          <w:color w:val="0B1F19"/>
          <w:sz w:val="19"/>
        </w:rPr>
        <w:t xml:space="preserve">Cible  </w:t>
      </w:r>
      <w:r>
        <w:rPr>
          <w:rFonts w:ascii="Aptos" w:hAnsi="Aptos"/>
          <w:b w:val="0"/>
          <w:i w:val="0"/>
          <w:color w:val="5A665F"/>
          <w:sz w:val="19"/>
        </w:rPr>
        <w:t>Application interne et site public SAFE</w:t>
      </w:r>
    </w:p>
    <w:p>
      <w:pPr>
        <w:widowControl/>
      </w:pPr>
      <w:r>
        <w:br w:type="page"/>
      </w:r>
    </w:p>
    <w:p>
      <w:pPr>
        <w:keepNext/>
        <w:widowControl/>
        <w:spacing w:after="160"/>
        <w:jc w:val="left"/>
      </w:pPr>
      <w:r>
        <w:rPr>
          <w:rFonts w:ascii="Aptos Display" w:hAnsi="Aptos Display"/>
          <w:b/>
          <w:i w:val="0"/>
          <w:color w:val="0B1F19"/>
          <w:sz w:val="44"/>
        </w:rPr>
        <w:t>Synthèse exécutive</w:t>
      </w:r>
    </w:p>
    <w:p>
      <w:pPr>
        <w:pStyle w:val="Lead"/>
        <w:widowControl/>
      </w:pPr>
      <w:r>
        <w:rPr>
          <w:rFonts w:ascii="Aptos" w:hAnsi="Aptos"/>
          <w:b w:val="0"/>
          <w:i w:val="0"/>
          <w:color w:val="1F2A24"/>
          <w:sz w:val="21"/>
        </w:rPr>
        <w:t>SAFE possède déjà une identité crédible : palette calme, typographie distinctive, traitement sérieux des montants et absence d’effets décoratifs gratuits. La perception premium n’est toutefois pas constante. Le tableau de bord paraît abouti, tandis que plusieurs écrans métier reviennent à des conventions génériques, présentent trop d’actions concurrentes ou échouent dans leurs états de chargement et d’erreur.</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FF2ED"/>
          </w:tcPr>
          <w:p>
            <w:pPr>
              <w:spacing w:after="0"/>
            </w:pPr>
            <w:r>
              <w:rPr>
                <w:rFonts w:ascii="Aptos" w:hAnsi="Aptos"/>
                <w:b/>
                <w:i w:val="0"/>
                <w:color w:val="0B1F19"/>
                <w:sz w:val="20"/>
              </w:rPr>
              <w:t xml:space="preserve">DÉCISION DIRECTRICE  </w:t>
            </w:r>
            <w:r>
              <w:rPr>
                <w:rFonts w:ascii="Aptos" w:hAnsi="Aptos"/>
                <w:b w:val="0"/>
                <w:i w:val="0"/>
                <w:color w:val="1F2A24"/>
                <w:sz w:val="20"/>
              </w:rPr>
              <w:t>Ne pas lancer une refonte esthétique générale. Stabiliser d’abord les parcours critiques, puis unifier les écrans métier autour d’une seule hiérarchie, d’un seul système de composants et de budgets de performance mesurables.</w:t>
            </w:r>
          </w:p>
        </w:tc>
      </w:tr>
    </w:tbl>
    <w:p>
      <w:pPr>
        <w:widowControl/>
        <w:spacing w:after="20"/>
      </w:pPr>
    </w:p>
    <w:p>
      <w:pPr>
        <w:pStyle w:val="Heading1"/>
        <w:keepNext/>
        <w:widowControl/>
      </w:pPr>
      <w:r>
        <w:t>Résultat attendu</w:t>
      </w:r>
    </w:p>
    <w:p>
      <w:pPr>
        <w:pStyle w:val="ListBullet"/>
        <w:widowControl/>
      </w:pPr>
      <w:r>
        <w:rPr>
          <w:rFonts w:ascii="Aptos" w:hAnsi="Aptos"/>
          <w:b w:val="0"/>
          <w:i w:val="0"/>
          <w:color w:val="1F2A24"/>
          <w:sz w:val="21"/>
        </w:rPr>
        <w:t>Une intention et une action principale par écran.</w:t>
      </w:r>
    </w:p>
    <w:p>
      <w:pPr>
        <w:pStyle w:val="ListBullet"/>
        <w:widowControl/>
      </w:pPr>
      <w:r>
        <w:rPr>
          <w:rFonts w:ascii="Aptos" w:hAnsi="Aptos"/>
          <w:b w:val="0"/>
          <w:i w:val="0"/>
          <w:color w:val="1F2A24"/>
          <w:sz w:val="21"/>
        </w:rPr>
        <w:t>Aucun écran blanc, aucun état silencieux : chaque geste expose attente, résultat ou reprise.</w:t>
      </w:r>
    </w:p>
    <w:p>
      <w:pPr>
        <w:pStyle w:val="ListBullet"/>
        <w:widowControl/>
      </w:pPr>
      <w:r>
        <w:rPr>
          <w:rFonts w:ascii="Aptos" w:hAnsi="Aptos"/>
          <w:b w:val="0"/>
          <w:i w:val="0"/>
          <w:color w:val="1F2A24"/>
          <w:sz w:val="21"/>
        </w:rPr>
        <w:t>Un premier rendu utile avant 1 seconde et une réponse au geste avant 100 ms.</w:t>
      </w:r>
    </w:p>
    <w:p>
      <w:pPr>
        <w:pStyle w:val="ListBullet"/>
        <w:widowControl/>
      </w:pPr>
      <w:r>
        <w:rPr>
          <w:rFonts w:ascii="Aptos" w:hAnsi="Aptos"/>
          <w:b w:val="0"/>
          <w:i w:val="0"/>
          <w:color w:val="1F2A24"/>
          <w:sz w:val="21"/>
        </w:rPr>
        <w:t>Des registres denses, lisibles et adaptés au travail quotidien d’un cabinet.</w:t>
      </w:r>
    </w:p>
    <w:p>
      <w:pPr>
        <w:pStyle w:val="ListBullet"/>
        <w:widowControl/>
      </w:pPr>
      <w:r>
        <w:rPr>
          <w:rFonts w:ascii="Aptos" w:hAnsi="Aptos"/>
          <w:b w:val="0"/>
          <w:i w:val="0"/>
          <w:color w:val="1F2A24"/>
          <w:sz w:val="21"/>
        </w:rPr>
        <w:t>Une expérience complète au clavier, au zoom et sur tablette ou mobile.</w:t>
      </w:r>
    </w:p>
    <w:p>
      <w:pPr>
        <w:pStyle w:val="ListBullet"/>
        <w:widowControl/>
      </w:pPr>
      <w:r>
        <w:rPr>
          <w:rFonts w:ascii="Aptos" w:hAnsi="Aptos"/>
          <w:b w:val="0"/>
          <w:i w:val="0"/>
          <w:color w:val="1F2A24"/>
          <w:sz w:val="21"/>
        </w:rPr>
        <w:t>Une qualité visuelle identique sur les écrans principaux et secondaires.</w:t>
      </w:r>
    </w:p>
    <w:p>
      <w:pPr>
        <w:pStyle w:val="Heading1"/>
        <w:keepNext/>
        <w:widowControl/>
      </w:pPr>
      <w:r>
        <w:t>Ordre d’exécution</w:t>
      </w:r>
    </w:p>
    <w:p>
      <w:pPr>
        <w:pStyle w:val="ListNumber"/>
        <w:widowControl/>
      </w:pPr>
      <w:r>
        <w:rPr>
          <w:rFonts w:ascii="Aptos" w:hAnsi="Aptos"/>
          <w:b w:val="0"/>
          <w:i w:val="0"/>
          <w:color w:val="1F2A24"/>
          <w:sz w:val="21"/>
        </w:rPr>
        <w:t>Fiabiliser les parcours fiduciaires et la saisie du temps.</w:t>
      </w:r>
    </w:p>
    <w:p>
      <w:pPr>
        <w:pStyle w:val="ListNumber"/>
        <w:widowControl/>
      </w:pPr>
      <w:r>
        <w:rPr>
          <w:rFonts w:ascii="Aptos" w:hAnsi="Aptos"/>
          <w:b w:val="0"/>
          <w:i w:val="0"/>
          <w:color w:val="1F2A24"/>
          <w:sz w:val="21"/>
        </w:rPr>
        <w:t>Unifier la hiérarchie et les actions sur les registres métier.</w:t>
      </w:r>
    </w:p>
    <w:p>
      <w:pPr>
        <w:pStyle w:val="ListNumber"/>
        <w:widowControl/>
      </w:pPr>
      <w:r>
        <w:rPr>
          <w:rFonts w:ascii="Aptos" w:hAnsi="Aptos"/>
          <w:b w:val="0"/>
          <w:i w:val="0"/>
          <w:color w:val="1F2A24"/>
          <w:sz w:val="21"/>
        </w:rPr>
        <w:t>Normaliser le design system, les états et la microcopie.</w:t>
      </w:r>
    </w:p>
    <w:p>
      <w:pPr>
        <w:pStyle w:val="ListNumber"/>
        <w:widowControl/>
      </w:pPr>
      <w:r>
        <w:rPr>
          <w:rFonts w:ascii="Aptos" w:hAnsi="Aptos"/>
          <w:b w:val="0"/>
          <w:i w:val="0"/>
          <w:color w:val="1F2A24"/>
          <w:sz w:val="21"/>
        </w:rPr>
        <w:t>Assurer le responsive, l’accessibilité et les budgets de performance.</w:t>
      </w:r>
    </w:p>
    <w:p>
      <w:pPr>
        <w:pStyle w:val="ListNumber"/>
        <w:widowControl/>
      </w:pPr>
      <w:r>
        <w:rPr>
          <w:rFonts w:ascii="Aptos" w:hAnsi="Aptos"/>
          <w:b w:val="0"/>
          <w:i w:val="0"/>
          <w:color w:val="1F2A24"/>
          <w:sz w:val="21"/>
        </w:rPr>
        <w:t>Raffiner la matière visuelle et la personnalité de marque.</w:t>
      </w:r>
    </w:p>
    <w:p>
      <w:pPr>
        <w:pStyle w:val="Heading1"/>
        <w:keepNext/>
        <w:widowControl/>
      </w:pPr>
      <w:r>
        <w:t>Évaluation de départ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6E6"/>
          </w:tcPr>
          <w:p>
            <w:pPr>
              <w:spacing w:after="0"/>
            </w:pPr>
            <w:r>
              <w:rPr>
                <w:rFonts w:ascii="Aptos" w:hAnsi="Aptos"/>
                <w:b/>
                <w:i w:val="0"/>
                <w:color w:val="B07A1C"/>
                <w:sz w:val="20"/>
              </w:rPr>
              <w:t xml:space="preserve">59/100  </w:t>
            </w:r>
            <w:r>
              <w:rPr>
                <w:rFonts w:ascii="Aptos" w:hAnsi="Aptos"/>
                <w:b w:val="0"/>
                <w:i w:val="0"/>
                <w:color w:val="1F2A24"/>
                <w:sz w:val="20"/>
              </w:rPr>
              <w:t>Note provisoire. Le score est plafonné par des violations des lois non négociables du référentiel : concurrence entre actions principales et absence de rendu utile sur un parcours critique.</w:t>
            </w:r>
          </w:p>
        </w:tc>
      </w:tr>
    </w:tbl>
    <w:p>
      <w:pPr>
        <w:widowControl/>
        <w:spacing w:after="20"/>
      </w:pPr>
    </w:p>
    <w:p>
      <w:pPr>
        <w:widowControl/>
      </w:pPr>
      <w:r>
        <w:br w:type="page"/>
      </w:r>
    </w:p>
    <w:p>
      <w:pPr>
        <w:keepNext/>
        <w:widowControl/>
        <w:spacing w:after="160"/>
        <w:jc w:val="left"/>
      </w:pPr>
      <w:r>
        <w:rPr>
          <w:rFonts w:ascii="Aptos Display" w:hAnsi="Aptos Display"/>
          <w:b/>
          <w:i w:val="0"/>
          <w:color w:val="0B1F19"/>
          <w:sz w:val="44"/>
        </w:rPr>
        <w:t>1. Principes de conception obligatoires</w:t>
      </w:r>
    </w:p>
    <w:tbl>
      <w:tblPr>
        <w:tblStyle w:val="TableGrid"/>
        <w:tblW w:type="dxa" w:w="9360"/>
        <w:tblLayout w:type="fixed"/>
        <w:tblLook w:firstColumn="1" w:firstRow="1" w:lastColumn="0" w:lastRow="0" w:noHBand="0" w:noVBand="1" w:val="04A0"/>
        <w:jc w:val="left"/>
        <w:tblInd w:w="120" w:type="dxa"/>
      </w:tblPr>
      <w:tblGrid>
        <w:gridCol w:w="620"/>
        <w:gridCol w:w="2300"/>
        <w:gridCol w:w="6440"/>
      </w:tblGrid>
      <w:tr>
        <w:trPr>
          <w:tblHeader w:val="true"/>
        </w:trPr>
        <w:tc>
          <w:tcPr>
            <w:tcW w:type="dxa" w:w="620"/>
            <w:tcMar>
              <w:top w:w="100" w:type="dxa"/>
              <w:start w:w="120" w:type="dxa"/>
              <w:bottom w:w="100" w:type="dxa"/>
              <w:end w:w="120" w:type="dxa"/>
            </w:tcMar>
            <w:vAlign w:val="center"/>
            <w:shd w:fill="0B1F19"/>
          </w:tcPr>
          <w:p>
            <w:pPr>
              <w:spacing w:after="0"/>
            </w:pPr>
            <w:r>
              <w:rPr>
                <w:rFonts w:ascii="Aptos" w:hAnsi="Aptos"/>
                <w:b/>
                <w:i w:val="0"/>
                <w:color w:val="FFFFFF"/>
                <w:sz w:val="18"/>
              </w:rPr>
              <w:t>Loi</w:t>
            </w:r>
          </w:p>
        </w:tc>
        <w:tc>
          <w:tcPr>
            <w:tcW w:type="dxa" w:w="2300"/>
            <w:tcMar>
              <w:top w:w="100" w:type="dxa"/>
              <w:start w:w="120" w:type="dxa"/>
              <w:bottom w:w="100" w:type="dxa"/>
              <w:end w:w="120" w:type="dxa"/>
            </w:tcMar>
            <w:vAlign w:val="center"/>
            <w:shd w:fill="0B1F19"/>
          </w:tcPr>
          <w:p>
            <w:pPr>
              <w:spacing w:after="0"/>
            </w:pPr>
            <w:r>
              <w:rPr>
                <w:rFonts w:ascii="Aptos" w:hAnsi="Aptos"/>
                <w:b/>
                <w:i w:val="0"/>
                <w:color w:val="FFFFFF"/>
                <w:sz w:val="18"/>
              </w:rPr>
              <w:t>Principe</w:t>
            </w:r>
          </w:p>
        </w:tc>
        <w:tc>
          <w:tcPr>
            <w:tcW w:type="dxa" w:w="6440"/>
            <w:tcMar>
              <w:top w:w="100" w:type="dxa"/>
              <w:start w:w="120" w:type="dxa"/>
              <w:bottom w:w="100" w:type="dxa"/>
              <w:end w:w="120" w:type="dxa"/>
            </w:tcMar>
            <w:vAlign w:val="center"/>
            <w:shd w:fill="0B1F19"/>
          </w:tcPr>
          <w:p>
            <w:pPr>
              <w:spacing w:after="0"/>
            </w:pPr>
            <w:r>
              <w:rPr>
                <w:rFonts w:ascii="Aptos" w:hAnsi="Aptos"/>
                <w:b/>
                <w:i w:val="0"/>
                <w:color w:val="FFFFFF"/>
                <w:sz w:val="18"/>
              </w:rPr>
              <w:t>Application SAFE</w:t>
            </w:r>
          </w:p>
        </w:tc>
      </w:tr>
      <w:tr>
        <w:tc>
          <w:tcPr>
            <w:tcW w:type="dxa" w:w="620"/>
            <w:tcMar>
              <w:top w:w="100" w:type="dxa"/>
              <w:start w:w="120" w:type="dxa"/>
              <w:bottom w:w="100" w:type="dxa"/>
              <w:end w:w="120" w:type="dxa"/>
            </w:tcMar>
            <w:vAlign w:val="center"/>
          </w:tcPr>
          <w:p>
            <w:pPr>
              <w:spacing w:after="0" w:line="259" w:lineRule="auto"/>
            </w:pPr>
            <w:r>
              <w:rPr>
                <w:rFonts w:ascii="Aptos" w:hAnsi="Aptos"/>
                <w:b/>
                <w:i w:val="0"/>
                <w:color w:val="1F2A24"/>
                <w:sz w:val="18"/>
              </w:rPr>
              <w:t>1</w:t>
            </w:r>
          </w:p>
        </w:tc>
        <w:tc>
          <w:tcPr>
            <w:tcW w:type="dxa" w:w="2300"/>
            <w:tcMar>
              <w:top w:w="100" w:type="dxa"/>
              <w:start w:w="120" w:type="dxa"/>
              <w:bottom w:w="100" w:type="dxa"/>
              <w:end w:w="120" w:type="dxa"/>
            </w:tcMar>
            <w:vAlign w:val="center"/>
          </w:tcPr>
          <w:p>
            <w:pPr>
              <w:spacing w:after="0" w:line="259" w:lineRule="auto"/>
            </w:pPr>
            <w:r>
              <w:rPr>
                <w:rFonts w:ascii="Aptos" w:hAnsi="Aptos"/>
                <w:b w:val="0"/>
                <w:i w:val="0"/>
                <w:color w:val="1F2A24"/>
                <w:sz w:val="18"/>
              </w:rPr>
              <w:t>Le chiffre est sacré</w:t>
            </w:r>
          </w:p>
        </w:tc>
        <w:tc>
          <w:tcPr>
            <w:tcW w:type="dxa" w:w="6440"/>
            <w:tcMar>
              <w:top w:w="100" w:type="dxa"/>
              <w:start w:w="120" w:type="dxa"/>
              <w:bottom w:w="100" w:type="dxa"/>
              <w:end w:w="120" w:type="dxa"/>
            </w:tcMar>
            <w:vAlign w:val="center"/>
          </w:tcPr>
          <w:p>
            <w:pPr>
              <w:spacing w:after="0" w:line="259" w:lineRule="auto"/>
            </w:pPr>
            <w:r>
              <w:rPr>
                <w:rFonts w:ascii="Aptos" w:hAnsi="Aptos"/>
                <w:b w:val="0"/>
                <w:i w:val="0"/>
                <w:color w:val="1F2A24"/>
                <w:sz w:val="18"/>
              </w:rPr>
              <w:t>Montants, heures et références en mono tabulaire, alignés à droite, jamais tronqués ni approximés.</w:t>
            </w:r>
          </w:p>
        </w:tc>
      </w:tr>
      <w:tr>
        <w:tc>
          <w:tcPr>
            <w:tcW w:type="dxa" w:w="620"/>
            <w:shd w:fill="F5F7F5"/>
            <w:tcMar>
              <w:top w:w="100" w:type="dxa"/>
              <w:start w:w="120" w:type="dxa"/>
              <w:bottom w:w="100" w:type="dxa"/>
              <w:end w:w="120" w:type="dxa"/>
            </w:tcMar>
            <w:vAlign w:val="center"/>
          </w:tcPr>
          <w:p>
            <w:pPr>
              <w:spacing w:after="0" w:line="259" w:lineRule="auto"/>
            </w:pPr>
            <w:r>
              <w:rPr>
                <w:rFonts w:ascii="Aptos" w:hAnsi="Aptos"/>
                <w:b/>
                <w:i w:val="0"/>
                <w:color w:val="1F2A24"/>
                <w:sz w:val="18"/>
              </w:rPr>
              <w:t>2</w:t>
            </w:r>
          </w:p>
        </w:tc>
        <w:tc>
          <w:tcPr>
            <w:tcW w:type="dxa" w:w="230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8"/>
              </w:rPr>
              <w:t>Une intention par écran</w:t>
            </w:r>
          </w:p>
        </w:tc>
        <w:tc>
          <w:tcPr>
            <w:tcW w:type="dxa" w:w="644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8"/>
              </w:rPr>
              <w:t>Une seule action pleine. Les actions secondaires sont visibles mais ne concurrencent pas la décision principale.</w:t>
            </w:r>
          </w:p>
        </w:tc>
      </w:tr>
      <w:tr>
        <w:tc>
          <w:tcPr>
            <w:tcW w:type="dxa" w:w="620"/>
            <w:tcMar>
              <w:top w:w="100" w:type="dxa"/>
              <w:start w:w="120" w:type="dxa"/>
              <w:bottom w:w="100" w:type="dxa"/>
              <w:end w:w="120" w:type="dxa"/>
            </w:tcMar>
            <w:vAlign w:val="center"/>
          </w:tcPr>
          <w:p>
            <w:pPr>
              <w:spacing w:after="0" w:line="259" w:lineRule="auto"/>
            </w:pPr>
            <w:r>
              <w:rPr>
                <w:rFonts w:ascii="Aptos" w:hAnsi="Aptos"/>
                <w:b/>
                <w:i w:val="0"/>
                <w:color w:val="1F2A24"/>
                <w:sz w:val="18"/>
              </w:rPr>
              <w:t>3</w:t>
            </w:r>
          </w:p>
        </w:tc>
        <w:tc>
          <w:tcPr>
            <w:tcW w:type="dxa" w:w="2300"/>
            <w:tcMar>
              <w:top w:w="100" w:type="dxa"/>
              <w:start w:w="120" w:type="dxa"/>
              <w:bottom w:w="100" w:type="dxa"/>
              <w:end w:w="120" w:type="dxa"/>
            </w:tcMar>
            <w:vAlign w:val="center"/>
          </w:tcPr>
          <w:p>
            <w:pPr>
              <w:spacing w:after="0" w:line="259" w:lineRule="auto"/>
            </w:pPr>
            <w:r>
              <w:rPr>
                <w:rFonts w:ascii="Aptos" w:hAnsi="Aptos"/>
                <w:b w:val="0"/>
                <w:i w:val="0"/>
                <w:color w:val="1F2A24"/>
                <w:sz w:val="18"/>
              </w:rPr>
              <w:t>Hiérarchie avant décoration</w:t>
            </w:r>
          </w:p>
        </w:tc>
        <w:tc>
          <w:tcPr>
            <w:tcW w:type="dxa" w:w="6440"/>
            <w:tcMar>
              <w:top w:w="100" w:type="dxa"/>
              <w:start w:w="120" w:type="dxa"/>
              <w:bottom w:w="100" w:type="dxa"/>
              <w:end w:w="120" w:type="dxa"/>
            </w:tcMar>
            <w:vAlign w:val="center"/>
          </w:tcPr>
          <w:p>
            <w:pPr>
              <w:spacing w:after="0" w:line="259" w:lineRule="auto"/>
            </w:pPr>
            <w:r>
              <w:rPr>
                <w:rFonts w:ascii="Aptos" w:hAnsi="Aptos"/>
                <w:b w:val="0"/>
                <w:i w:val="0"/>
                <w:color w:val="1F2A24"/>
                <w:sz w:val="18"/>
              </w:rPr>
              <w:t>Composer dans l’ordre : contexte, information décisive, action principale, détails.</w:t>
            </w:r>
          </w:p>
        </w:tc>
      </w:tr>
      <w:tr>
        <w:tc>
          <w:tcPr>
            <w:tcW w:type="dxa" w:w="620"/>
            <w:shd w:fill="F5F7F5"/>
            <w:tcMar>
              <w:top w:w="100" w:type="dxa"/>
              <w:start w:w="120" w:type="dxa"/>
              <w:bottom w:w="100" w:type="dxa"/>
              <w:end w:w="120" w:type="dxa"/>
            </w:tcMar>
            <w:vAlign w:val="center"/>
          </w:tcPr>
          <w:p>
            <w:pPr>
              <w:spacing w:after="0" w:line="259" w:lineRule="auto"/>
            </w:pPr>
            <w:r>
              <w:rPr>
                <w:rFonts w:ascii="Aptos" w:hAnsi="Aptos"/>
                <w:b/>
                <w:i w:val="0"/>
                <w:color w:val="1F2A24"/>
                <w:sz w:val="18"/>
              </w:rPr>
              <w:t>4</w:t>
            </w:r>
          </w:p>
        </w:tc>
        <w:tc>
          <w:tcPr>
            <w:tcW w:type="dxa" w:w="230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8"/>
              </w:rPr>
              <w:t>Performance comme design</w:t>
            </w:r>
          </w:p>
        </w:tc>
        <w:tc>
          <w:tcPr>
            <w:tcW w:type="dxa" w:w="644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8"/>
              </w:rPr>
              <w:t>Tout effet ou composant doit respecter les budgets LCP, INP et CLS.</w:t>
            </w:r>
          </w:p>
        </w:tc>
      </w:tr>
      <w:tr>
        <w:tc>
          <w:tcPr>
            <w:tcW w:type="dxa" w:w="620"/>
            <w:tcMar>
              <w:top w:w="100" w:type="dxa"/>
              <w:start w:w="120" w:type="dxa"/>
              <w:bottom w:w="100" w:type="dxa"/>
              <w:end w:w="120" w:type="dxa"/>
            </w:tcMar>
            <w:vAlign w:val="center"/>
          </w:tcPr>
          <w:p>
            <w:pPr>
              <w:spacing w:after="0" w:line="259" w:lineRule="auto"/>
            </w:pPr>
            <w:r>
              <w:rPr>
                <w:rFonts w:ascii="Aptos" w:hAnsi="Aptos"/>
                <w:b/>
                <w:i w:val="0"/>
                <w:color w:val="1F2A24"/>
                <w:sz w:val="18"/>
              </w:rPr>
              <w:t>5</w:t>
            </w:r>
          </w:p>
        </w:tc>
        <w:tc>
          <w:tcPr>
            <w:tcW w:type="dxa" w:w="2300"/>
            <w:tcMar>
              <w:top w:w="100" w:type="dxa"/>
              <w:start w:w="120" w:type="dxa"/>
              <w:bottom w:w="100" w:type="dxa"/>
              <w:end w:w="120" w:type="dxa"/>
            </w:tcMar>
            <w:vAlign w:val="center"/>
          </w:tcPr>
          <w:p>
            <w:pPr>
              <w:spacing w:after="0" w:line="259" w:lineRule="auto"/>
            </w:pPr>
            <w:r>
              <w:rPr>
                <w:rFonts w:ascii="Aptos" w:hAnsi="Aptos"/>
                <w:b w:val="0"/>
                <w:i w:val="0"/>
                <w:color w:val="1F2A24"/>
                <w:sz w:val="18"/>
              </w:rPr>
              <w:t>Accessibilité intégrée</w:t>
            </w:r>
          </w:p>
        </w:tc>
        <w:tc>
          <w:tcPr>
            <w:tcW w:type="dxa" w:w="6440"/>
            <w:tcMar>
              <w:top w:w="100" w:type="dxa"/>
              <w:start w:w="120" w:type="dxa"/>
              <w:bottom w:w="100" w:type="dxa"/>
              <w:end w:w="120" w:type="dxa"/>
            </w:tcMar>
            <w:vAlign w:val="center"/>
          </w:tcPr>
          <w:p>
            <w:pPr>
              <w:spacing w:after="0" w:line="259" w:lineRule="auto"/>
            </w:pPr>
            <w:r>
              <w:rPr>
                <w:rFonts w:ascii="Aptos" w:hAnsi="Aptos"/>
                <w:b w:val="0"/>
                <w:i w:val="0"/>
                <w:color w:val="1F2A24"/>
                <w:sz w:val="18"/>
              </w:rPr>
              <w:t>Focus, reflow, clavier, contraste et cibles tactiles font partie du composant initial.</w:t>
            </w:r>
          </w:p>
        </w:tc>
      </w:tr>
      <w:tr>
        <w:tc>
          <w:tcPr>
            <w:tcW w:type="dxa" w:w="620"/>
            <w:shd w:fill="F5F7F5"/>
            <w:tcMar>
              <w:top w:w="100" w:type="dxa"/>
              <w:start w:w="120" w:type="dxa"/>
              <w:bottom w:w="100" w:type="dxa"/>
              <w:end w:w="120" w:type="dxa"/>
            </w:tcMar>
            <w:vAlign w:val="center"/>
          </w:tcPr>
          <w:p>
            <w:pPr>
              <w:spacing w:after="0" w:line="259" w:lineRule="auto"/>
            </w:pPr>
            <w:r>
              <w:rPr>
                <w:rFonts w:ascii="Aptos" w:hAnsi="Aptos"/>
                <w:b/>
                <w:i w:val="0"/>
                <w:color w:val="1F2A24"/>
                <w:sz w:val="18"/>
              </w:rPr>
              <w:t>6</w:t>
            </w:r>
          </w:p>
        </w:tc>
        <w:tc>
          <w:tcPr>
            <w:tcW w:type="dxa" w:w="230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8"/>
              </w:rPr>
              <w:t>Cohérence avant nouveauté</w:t>
            </w:r>
          </w:p>
        </w:tc>
        <w:tc>
          <w:tcPr>
            <w:tcW w:type="dxa" w:w="644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8"/>
              </w:rPr>
              <w:t>Réutiliser les tokens et primitives SAFE. Aucun style local sans rôle réutilisable.</w:t>
            </w:r>
          </w:p>
        </w:tc>
      </w:tr>
      <w:tr>
        <w:tc>
          <w:tcPr>
            <w:tcW w:type="dxa" w:w="620"/>
            <w:tcMar>
              <w:top w:w="100" w:type="dxa"/>
              <w:start w:w="120" w:type="dxa"/>
              <w:bottom w:w="100" w:type="dxa"/>
              <w:end w:w="120" w:type="dxa"/>
            </w:tcMar>
            <w:vAlign w:val="center"/>
          </w:tcPr>
          <w:p>
            <w:pPr>
              <w:spacing w:after="0" w:line="259" w:lineRule="auto"/>
            </w:pPr>
            <w:r>
              <w:rPr>
                <w:rFonts w:ascii="Aptos" w:hAnsi="Aptos"/>
                <w:b/>
                <w:i w:val="0"/>
                <w:color w:val="1F2A24"/>
                <w:sz w:val="18"/>
              </w:rPr>
              <w:t>7</w:t>
            </w:r>
          </w:p>
        </w:tc>
        <w:tc>
          <w:tcPr>
            <w:tcW w:type="dxa" w:w="2300"/>
            <w:tcMar>
              <w:top w:w="100" w:type="dxa"/>
              <w:start w:w="120" w:type="dxa"/>
              <w:bottom w:w="100" w:type="dxa"/>
              <w:end w:w="120" w:type="dxa"/>
            </w:tcMar>
            <w:vAlign w:val="center"/>
          </w:tcPr>
          <w:p>
            <w:pPr>
              <w:spacing w:after="0" w:line="259" w:lineRule="auto"/>
            </w:pPr>
            <w:r>
              <w:rPr>
                <w:rFonts w:ascii="Aptos" w:hAnsi="Aptos"/>
                <w:b w:val="0"/>
                <w:i w:val="0"/>
                <w:color w:val="1F2A24"/>
                <w:sz w:val="18"/>
              </w:rPr>
              <w:t>Mouvement fonctionnel</w:t>
            </w:r>
          </w:p>
        </w:tc>
        <w:tc>
          <w:tcPr>
            <w:tcW w:type="dxa" w:w="6440"/>
            <w:tcMar>
              <w:top w:w="100" w:type="dxa"/>
              <w:start w:w="120" w:type="dxa"/>
              <w:bottom w:w="100" w:type="dxa"/>
              <w:end w:w="120" w:type="dxa"/>
            </w:tcMar>
            <w:vAlign w:val="center"/>
          </w:tcPr>
          <w:p>
            <w:pPr>
              <w:spacing w:after="0" w:line="259" w:lineRule="auto"/>
            </w:pPr>
            <w:r>
              <w:rPr>
                <w:rFonts w:ascii="Aptos" w:hAnsi="Aptos"/>
                <w:b w:val="0"/>
                <w:i w:val="0"/>
                <w:color w:val="1F2A24"/>
                <w:sz w:val="18"/>
              </w:rPr>
              <w:t>Une micro-interaction sert uniquement à guider, confirmer ou clarifier.</w:t>
            </w:r>
          </w:p>
        </w:tc>
      </w:tr>
      <w:tr>
        <w:tc>
          <w:tcPr>
            <w:tcW w:type="dxa" w:w="620"/>
            <w:shd w:fill="F5F7F5"/>
            <w:tcMar>
              <w:top w:w="100" w:type="dxa"/>
              <w:start w:w="120" w:type="dxa"/>
              <w:bottom w:w="100" w:type="dxa"/>
              <w:end w:w="120" w:type="dxa"/>
            </w:tcMar>
            <w:vAlign w:val="center"/>
          </w:tcPr>
          <w:p>
            <w:pPr>
              <w:spacing w:after="0" w:line="259" w:lineRule="auto"/>
            </w:pPr>
            <w:r>
              <w:rPr>
                <w:rFonts w:ascii="Aptos" w:hAnsi="Aptos"/>
                <w:b/>
                <w:i w:val="0"/>
                <w:color w:val="1F2A24"/>
                <w:sz w:val="18"/>
              </w:rPr>
              <w:t>8</w:t>
            </w:r>
          </w:p>
        </w:tc>
        <w:tc>
          <w:tcPr>
            <w:tcW w:type="dxa" w:w="230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8"/>
              </w:rPr>
              <w:t>Densité utile</w:t>
            </w:r>
          </w:p>
        </w:tc>
        <w:tc>
          <w:tcPr>
            <w:tcW w:type="dxa" w:w="644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8"/>
              </w:rPr>
              <w:t>Optimiser l’information visible, pas le nombre de cartes ou de surfaces.</w:t>
            </w:r>
          </w:p>
        </w:tc>
      </w:tr>
    </w:tbl>
    <w:p>
      <w:pPr>
        <w:widowControl/>
        <w:spacing w:after="40"/>
      </w:pPr>
    </w:p>
    <w:p>
      <w:pPr>
        <w:pStyle w:val="Heading1"/>
        <w:keepNext/>
        <w:widowControl/>
      </w:pPr>
      <w:r>
        <w:t>Langage visuel cible</w:t>
      </w:r>
    </w:p>
    <w:p>
      <w:pPr>
        <w:pStyle w:val="ListBullet"/>
        <w:widowControl/>
      </w:pPr>
      <w:r>
        <w:rPr>
          <w:rFonts w:ascii="Aptos" w:hAnsi="Aptos"/>
          <w:b w:val="0"/>
          <w:i w:val="0"/>
          <w:color w:val="1F2A24"/>
          <w:sz w:val="21"/>
        </w:rPr>
        <w:t>Surface de travail mate, filet discret, aucune ombre dans le flux.</w:t>
      </w:r>
    </w:p>
    <w:p>
      <w:pPr>
        <w:pStyle w:val="ListBullet"/>
        <w:widowControl/>
      </w:pPr>
      <w:r>
        <w:rPr>
          <w:rFonts w:ascii="Aptos" w:hAnsi="Aptos"/>
          <w:b w:val="0"/>
          <w:i w:val="0"/>
          <w:color w:val="1F2A24"/>
          <w:sz w:val="21"/>
        </w:rPr>
        <w:t>Verre uniquement sur les menus, modales, palettes et autres superpositions réelles.</w:t>
      </w:r>
    </w:p>
    <w:p>
      <w:pPr>
        <w:pStyle w:val="ListBullet"/>
        <w:widowControl/>
      </w:pPr>
      <w:r>
        <w:rPr>
          <w:rFonts w:ascii="Aptos" w:hAnsi="Aptos"/>
          <w:b w:val="0"/>
          <w:i w:val="0"/>
          <w:color w:val="1F2A24"/>
          <w:sz w:val="21"/>
        </w:rPr>
        <w:t>Asymétrie contrôlée sur la vitrine et les moments éditoriaux ; grille rigoureuse dans l’instrument.</w:t>
      </w:r>
    </w:p>
    <w:p>
      <w:pPr>
        <w:pStyle w:val="ListBullet"/>
        <w:widowControl/>
      </w:pPr>
      <w:r>
        <w:rPr>
          <w:rFonts w:ascii="Aptos" w:hAnsi="Aptos"/>
          <w:b w:val="0"/>
          <w:i w:val="0"/>
          <w:color w:val="1F2A24"/>
          <w:sz w:val="21"/>
        </w:rPr>
        <w:t>Esthétique d’index archivistique pour documents, activités, registres et historiques.</w:t>
      </w:r>
    </w:p>
    <w:p>
      <w:pPr>
        <w:pStyle w:val="ListBullet"/>
        <w:widowControl/>
      </w:pPr>
      <w:r>
        <w:rPr>
          <w:rFonts w:ascii="Aptos" w:hAnsi="Aptos"/>
          <w:b w:val="0"/>
          <w:i w:val="0"/>
          <w:color w:val="1F2A24"/>
          <w:sz w:val="21"/>
        </w:rPr>
        <w:t>Instrument Serif pour les titres d’écran ; Geist Sans pour l’interface ; Geist Mono pour tous les chiffres.</w:t>
      </w:r>
    </w:p>
    <w:p>
      <w:pPr>
        <w:pStyle w:val="Heading1"/>
        <w:keepNext/>
        <w:widowControl/>
      </w:pPr>
      <w:r>
        <w:t>Glassmorphisme contrôlé</w:t>
      </w:r>
    </w:p>
    <w:p>
      <w:pPr>
        <w:pStyle w:val="ListBullet"/>
        <w:widowControl/>
      </w:pPr>
      <w:r>
        <w:t>Employer le verre uniquement lorsqu’une surface recouvre un contenu qui doit rester perceptible ; le flux et les surfaces adjacentes restent mats.</w:t>
      </w:r>
    </w:p>
    <w:p>
      <w:pPr>
        <w:pStyle w:val="ListBullet"/>
        <w:widowControl/>
      </w:pPr>
      <w:r>
        <w:t>Limiter la matière à trois jetons : Subtle 0,72 / 14 px ; Elevated 0,84 / 24 px ; Focus 0,95 / 30 px.</w:t>
      </w:r>
    </w:p>
    <w:p>
      <w:pPr>
        <w:pStyle w:val="ListBullet"/>
        <w:widowControl/>
      </w:pPr>
      <w:r>
        <w:t>Rendre le niveau Focus plus opaque, jamais plus transparent, et n’en afficher qu’un seul lorsqu’il porte une décision critique.</w:t>
      </w:r>
    </w:p>
    <w:p>
      <w:pPr>
        <w:pStyle w:val="ListBullet"/>
        <w:widowControl/>
      </w:pPr>
      <w:r>
        <w:t>Garantir un contraste AA sur le fond le plus défavorable, avec un repli opaque si backdrop-filter ou la transparence réduite l’exigent.</w:t>
      </w:r>
    </w:p>
    <w:p>
      <w:pPr>
        <w:pStyle w:val="ListBullet"/>
        <w:widowControl/>
      </w:pPr>
      <w:r>
        <w:t>Limiter à quatre surfaces floutées simultanées et supprimer le flou s’il dégrade le rendu, l’INP ou la stabilité visuelle.</w:t>
      </w:r>
    </w:p>
    <w:p>
      <w:pPr>
        <w:widowControl/>
      </w:pPr>
      <w:r>
        <w:br w:type="page"/>
      </w:r>
    </w:p>
    <w:p>
      <w:pPr>
        <w:keepNext/>
        <w:widowControl/>
        <w:spacing w:after="160"/>
        <w:jc w:val="left"/>
      </w:pPr>
      <w:r>
        <w:rPr>
          <w:rFonts w:ascii="Aptos Display" w:hAnsi="Aptos Display"/>
          <w:b/>
          <w:i w:val="0"/>
          <w:color w:val="0B1F19"/>
          <w:sz w:val="44"/>
        </w:rPr>
        <w:t>2. Corrections critiques et prioritaires</w:t>
      </w:r>
    </w:p>
    <w:tbl>
      <w:tblPr>
        <w:tblStyle w:val="TableGrid"/>
        <w:tblW w:type="dxa" w:w="9360"/>
        <w:tblLayout w:type="fixed"/>
        <w:tblLook w:firstColumn="1" w:firstRow="1" w:lastColumn="0" w:lastRow="0" w:noHBand="0" w:noVBand="1" w:val="04A0"/>
        <w:jc w:val="left"/>
        <w:tblInd w:w="120" w:type="dxa"/>
      </w:tblPr>
      <w:tblGrid>
        <w:gridCol w:w="900"/>
        <w:gridCol w:w="1550"/>
        <w:gridCol w:w="3000"/>
        <w:gridCol w:w="3910"/>
      </w:tblGrid>
      <w:tr>
        <w:trPr>
          <w:tblHeader w:val="true"/>
        </w:trPr>
        <w:tc>
          <w:tcPr>
            <w:tcW w:type="dxa" w:w="900"/>
            <w:tcMar>
              <w:top w:w="100" w:type="dxa"/>
              <w:start w:w="120" w:type="dxa"/>
              <w:bottom w:w="100" w:type="dxa"/>
              <w:end w:w="120" w:type="dxa"/>
            </w:tcMar>
            <w:vAlign w:val="center"/>
            <w:shd w:fill="0B1F19"/>
          </w:tcPr>
          <w:p>
            <w:pPr>
              <w:spacing w:after="0"/>
            </w:pPr>
            <w:r>
              <w:rPr>
                <w:rFonts w:ascii="Aptos" w:hAnsi="Aptos"/>
                <w:b/>
                <w:i w:val="0"/>
                <w:color w:val="FFFFFF"/>
                <w:sz w:val="16"/>
              </w:rPr>
              <w:t>Priorité</w:t>
            </w:r>
          </w:p>
        </w:tc>
        <w:tc>
          <w:tcPr>
            <w:tcW w:type="dxa" w:w="1550"/>
            <w:tcMar>
              <w:top w:w="100" w:type="dxa"/>
              <w:start w:w="120" w:type="dxa"/>
              <w:bottom w:w="100" w:type="dxa"/>
              <w:end w:w="120" w:type="dxa"/>
            </w:tcMar>
            <w:vAlign w:val="center"/>
            <w:shd w:fill="0B1F19"/>
          </w:tcPr>
          <w:p>
            <w:pPr>
              <w:spacing w:after="0"/>
            </w:pPr>
            <w:r>
              <w:rPr>
                <w:rFonts w:ascii="Aptos" w:hAnsi="Aptos"/>
                <w:b/>
                <w:i w:val="0"/>
                <w:color w:val="FFFFFF"/>
                <w:sz w:val="16"/>
              </w:rPr>
              <w:t>Route</w:t>
            </w:r>
          </w:p>
        </w:tc>
        <w:tc>
          <w:tcPr>
            <w:tcW w:type="dxa" w:w="3000"/>
            <w:tcMar>
              <w:top w:w="100" w:type="dxa"/>
              <w:start w:w="120" w:type="dxa"/>
              <w:bottom w:w="100" w:type="dxa"/>
              <w:end w:w="120" w:type="dxa"/>
            </w:tcMar>
            <w:vAlign w:val="center"/>
            <w:shd w:fill="0B1F19"/>
          </w:tcPr>
          <w:p>
            <w:pPr>
              <w:spacing w:after="0"/>
            </w:pPr>
            <w:r>
              <w:rPr>
                <w:rFonts w:ascii="Aptos" w:hAnsi="Aptos"/>
                <w:b/>
                <w:i w:val="0"/>
                <w:color w:val="FFFFFF"/>
                <w:sz w:val="16"/>
              </w:rPr>
              <w:t>Constat</w:t>
            </w:r>
          </w:p>
        </w:tc>
        <w:tc>
          <w:tcPr>
            <w:tcW w:type="dxa" w:w="3910"/>
            <w:tcMar>
              <w:top w:w="100" w:type="dxa"/>
              <w:start w:w="120" w:type="dxa"/>
              <w:bottom w:w="100" w:type="dxa"/>
              <w:end w:w="120" w:type="dxa"/>
            </w:tcMar>
            <w:vAlign w:val="center"/>
            <w:shd w:fill="0B1F19"/>
          </w:tcPr>
          <w:p>
            <w:pPr>
              <w:spacing w:after="0"/>
            </w:pPr>
            <w:r>
              <w:rPr>
                <w:rFonts w:ascii="Aptos" w:hAnsi="Aptos"/>
                <w:b/>
                <w:i w:val="0"/>
                <w:color w:val="FFFFFF"/>
                <w:sz w:val="16"/>
              </w:rPr>
              <w:t>Correction</w:t>
            </w:r>
          </w:p>
        </w:tc>
      </w:tr>
      <w:tr>
        <w:tc>
          <w:tcPr>
            <w:tcW w:type="dxa" w:w="900"/>
            <w:tcMar>
              <w:top w:w="100" w:type="dxa"/>
              <w:start w:w="120" w:type="dxa"/>
              <w:bottom w:w="100" w:type="dxa"/>
              <w:end w:w="120" w:type="dxa"/>
            </w:tcMar>
            <w:vAlign w:val="center"/>
          </w:tcPr>
          <w:p>
            <w:pPr>
              <w:spacing w:after="0" w:line="259" w:lineRule="auto"/>
            </w:pPr>
            <w:r>
              <w:rPr>
                <w:rFonts w:ascii="Aptos" w:hAnsi="Aptos"/>
                <w:b/>
                <w:i w:val="0"/>
                <w:color w:val="9B2C2C"/>
                <w:sz w:val="16"/>
              </w:rPr>
              <w:t>Critique</w:t>
            </w:r>
          </w:p>
        </w:tc>
        <w:tc>
          <w:tcPr>
            <w:tcW w:type="dxa" w:w="1550"/>
            <w:tcMar>
              <w:top w:w="100" w:type="dxa"/>
              <w:start w:w="120" w:type="dxa"/>
              <w:bottom w:w="100" w:type="dxa"/>
              <w:end w:w="120" w:type="dxa"/>
            </w:tcMar>
            <w:vAlign w:val="center"/>
          </w:tcPr>
          <w:p>
            <w:pPr>
              <w:spacing w:after="0" w:line="259" w:lineRule="auto"/>
            </w:pPr>
            <w:r>
              <w:rPr>
                <w:rFonts w:ascii="Aptos" w:hAnsi="Aptos"/>
                <w:b w:val="0"/>
                <w:i w:val="0"/>
                <w:color w:val="1F2A24"/>
                <w:sz w:val="16"/>
              </w:rPr>
              <w:t>/comptes/rapprochement</w:t>
            </w:r>
          </w:p>
        </w:tc>
        <w:tc>
          <w:tcPr>
            <w:tcW w:type="dxa" w:w="3000"/>
            <w:tcMar>
              <w:top w:w="100" w:type="dxa"/>
              <w:start w:w="120" w:type="dxa"/>
              <w:bottom w:w="100" w:type="dxa"/>
              <w:end w:w="120" w:type="dxa"/>
            </w:tcMar>
            <w:vAlign w:val="center"/>
          </w:tcPr>
          <w:p>
            <w:pPr>
              <w:spacing w:after="0" w:line="259" w:lineRule="auto"/>
            </w:pPr>
            <w:r>
              <w:rPr>
                <w:rFonts w:ascii="Aptos" w:hAnsi="Aptos"/>
                <w:b w:val="0"/>
                <w:i w:val="0"/>
                <w:color w:val="1F2A24"/>
                <w:sz w:val="16"/>
              </w:rPr>
              <w:t>Écran entièrement blanc observé.</w:t>
            </w:r>
          </w:p>
        </w:tc>
        <w:tc>
          <w:tcPr>
            <w:tcW w:type="dxa" w:w="3910"/>
            <w:tcMar>
              <w:top w:w="100" w:type="dxa"/>
              <w:start w:w="120" w:type="dxa"/>
              <w:bottom w:w="100" w:type="dxa"/>
              <w:end w:w="120" w:type="dxa"/>
            </w:tcMar>
            <w:vAlign w:val="center"/>
          </w:tcPr>
          <w:p>
            <w:pPr>
              <w:spacing w:after="0" w:line="259" w:lineRule="auto"/>
            </w:pPr>
            <w:r>
              <w:rPr>
                <w:rFonts w:ascii="Aptos" w:hAnsi="Aptos"/>
                <w:b w:val="0"/>
                <w:i w:val="0"/>
                <w:color w:val="1F2A24"/>
                <w:sz w:val="16"/>
              </w:rPr>
              <w:t>Ajouter error.tsx, chargement dimensionné, reprise et message actionnable.</w:t>
            </w:r>
          </w:p>
        </w:tc>
      </w:tr>
      <w:tr>
        <w:tc>
          <w:tcPr>
            <w:tcW w:type="dxa" w:w="900"/>
            <w:shd w:fill="F5F7F5"/>
            <w:tcMar>
              <w:top w:w="100" w:type="dxa"/>
              <w:start w:w="120" w:type="dxa"/>
              <w:bottom w:w="100" w:type="dxa"/>
              <w:end w:w="120" w:type="dxa"/>
            </w:tcMar>
            <w:vAlign w:val="center"/>
          </w:tcPr>
          <w:p>
            <w:pPr>
              <w:spacing w:after="0" w:line="259" w:lineRule="auto"/>
            </w:pPr>
            <w:r>
              <w:rPr>
                <w:rFonts w:ascii="Aptos" w:hAnsi="Aptos"/>
                <w:b/>
                <w:i w:val="0"/>
                <w:color w:val="9B2C2C"/>
                <w:sz w:val="16"/>
              </w:rPr>
              <w:t>Critique</w:t>
            </w:r>
          </w:p>
        </w:tc>
        <w:tc>
          <w:tcPr>
            <w:tcW w:type="dxa" w:w="155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6"/>
              </w:rPr>
              <w:t>/temps</w:t>
            </w:r>
          </w:p>
        </w:tc>
        <w:tc>
          <w:tcPr>
            <w:tcW w:type="dxa" w:w="300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6"/>
              </w:rPr>
              <w:t>Contenu principal vide observé.</w:t>
            </w:r>
          </w:p>
        </w:tc>
        <w:tc>
          <w:tcPr>
            <w:tcW w:type="dxa" w:w="391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6"/>
              </w:rPr>
              <w:t>Garantir un état de chargement, vide ou erreur ; rendre la saisie disponible en quelques secondes.</w:t>
            </w:r>
          </w:p>
        </w:tc>
      </w:tr>
      <w:tr>
        <w:tc>
          <w:tcPr>
            <w:tcW w:type="dxa" w:w="900"/>
            <w:tcMar>
              <w:top w:w="100" w:type="dxa"/>
              <w:start w:w="120" w:type="dxa"/>
              <w:bottom w:w="100" w:type="dxa"/>
              <w:end w:w="120" w:type="dxa"/>
            </w:tcMar>
            <w:vAlign w:val="center"/>
          </w:tcPr>
          <w:p>
            <w:pPr>
              <w:spacing w:after="0" w:line="259" w:lineRule="auto"/>
            </w:pPr>
            <w:r>
              <w:rPr>
                <w:rFonts w:ascii="Aptos" w:hAnsi="Aptos"/>
                <w:b/>
                <w:i w:val="0"/>
                <w:color w:val="1F2A24"/>
                <w:sz w:val="16"/>
              </w:rPr>
              <w:t>Élevée</w:t>
            </w:r>
          </w:p>
        </w:tc>
        <w:tc>
          <w:tcPr>
            <w:tcW w:type="dxa" w:w="1550"/>
            <w:tcMar>
              <w:top w:w="100" w:type="dxa"/>
              <w:start w:w="120" w:type="dxa"/>
              <w:bottom w:w="100" w:type="dxa"/>
              <w:end w:w="120" w:type="dxa"/>
            </w:tcMar>
            <w:vAlign w:val="center"/>
          </w:tcPr>
          <w:p>
            <w:pPr>
              <w:spacing w:after="0" w:line="259" w:lineRule="auto"/>
            </w:pPr>
            <w:r>
              <w:rPr>
                <w:rFonts w:ascii="Aptos" w:hAnsi="Aptos"/>
                <w:b w:val="0"/>
                <w:i w:val="0"/>
                <w:color w:val="1F2A24"/>
                <w:sz w:val="16"/>
              </w:rPr>
              <w:t>Toutes routes internes</w:t>
            </w:r>
          </w:p>
        </w:tc>
        <w:tc>
          <w:tcPr>
            <w:tcW w:type="dxa" w:w="3000"/>
            <w:tcMar>
              <w:top w:w="100" w:type="dxa"/>
              <w:start w:w="120" w:type="dxa"/>
              <w:bottom w:w="100" w:type="dxa"/>
              <w:end w:w="120" w:type="dxa"/>
            </w:tcMar>
            <w:vAlign w:val="center"/>
          </w:tcPr>
          <w:p>
            <w:pPr>
              <w:spacing w:after="0" w:line="259" w:lineRule="auto"/>
            </w:pPr>
            <w:r>
              <w:rPr>
                <w:rFonts w:ascii="Aptos" w:hAnsi="Aptos"/>
                <w:b w:val="0"/>
                <w:i w:val="0"/>
                <w:color w:val="1F2A24"/>
                <w:sz w:val="16"/>
              </w:rPr>
              <w:t>Alerte réglementaire anglaise dans l’interface française.</w:t>
            </w:r>
          </w:p>
        </w:tc>
        <w:tc>
          <w:tcPr>
            <w:tcW w:type="dxa" w:w="3910"/>
            <w:tcMar>
              <w:top w:w="100" w:type="dxa"/>
              <w:start w:w="120" w:type="dxa"/>
              <w:bottom w:w="100" w:type="dxa"/>
              <w:end w:w="120" w:type="dxa"/>
            </w:tcMar>
            <w:vAlign w:val="center"/>
          </w:tcPr>
          <w:p>
            <w:pPr>
              <w:spacing w:after="0" w:line="259" w:lineRule="auto"/>
            </w:pPr>
            <w:r>
              <w:rPr>
                <w:rFonts w:ascii="Aptos" w:hAnsi="Aptos"/>
                <w:b w:val="0"/>
                <w:i w:val="0"/>
                <w:color w:val="1F2A24"/>
                <w:sz w:val="16"/>
              </w:rPr>
              <w:t>Localiser titre, explication et CTA selon langue et province.</w:t>
            </w:r>
          </w:p>
        </w:tc>
      </w:tr>
      <w:tr>
        <w:tc>
          <w:tcPr>
            <w:tcW w:type="dxa" w:w="900"/>
            <w:shd w:fill="F5F7F5"/>
            <w:tcMar>
              <w:top w:w="100" w:type="dxa"/>
              <w:start w:w="120" w:type="dxa"/>
              <w:bottom w:w="100" w:type="dxa"/>
              <w:end w:w="120" w:type="dxa"/>
            </w:tcMar>
            <w:vAlign w:val="center"/>
          </w:tcPr>
          <w:p>
            <w:pPr>
              <w:spacing w:after="0" w:line="259" w:lineRule="auto"/>
            </w:pPr>
            <w:r>
              <w:rPr>
                <w:rFonts w:ascii="Aptos" w:hAnsi="Aptos"/>
                <w:b/>
                <w:i w:val="0"/>
                <w:color w:val="1F2A24"/>
                <w:sz w:val="16"/>
              </w:rPr>
              <w:t>Élevée</w:t>
            </w:r>
          </w:p>
        </w:tc>
        <w:tc>
          <w:tcPr>
            <w:tcW w:type="dxa" w:w="155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6"/>
              </w:rPr>
              <w:t>/tableau-de-bord</w:t>
            </w:r>
          </w:p>
        </w:tc>
        <w:tc>
          <w:tcPr>
            <w:tcW w:type="dxa" w:w="300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6"/>
              </w:rPr>
              <w:t>Deux appels dominants vers le même rapprochement.</w:t>
            </w:r>
          </w:p>
        </w:tc>
        <w:tc>
          <w:tcPr>
            <w:tcW w:type="dxa" w:w="391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6"/>
              </w:rPr>
              <w:t>Conserver un seul bouton plein et réduire l’alerte persistante après exposition.</w:t>
            </w:r>
          </w:p>
        </w:tc>
      </w:tr>
      <w:tr>
        <w:tc>
          <w:tcPr>
            <w:tcW w:type="dxa" w:w="900"/>
            <w:tcMar>
              <w:top w:w="100" w:type="dxa"/>
              <w:start w:w="120" w:type="dxa"/>
              <w:bottom w:w="100" w:type="dxa"/>
              <w:end w:w="120" w:type="dxa"/>
            </w:tcMar>
            <w:vAlign w:val="center"/>
          </w:tcPr>
          <w:p>
            <w:pPr>
              <w:spacing w:after="0" w:line="259" w:lineRule="auto"/>
            </w:pPr>
            <w:r>
              <w:rPr>
                <w:rFonts w:ascii="Aptos" w:hAnsi="Aptos"/>
                <w:b/>
                <w:i w:val="0"/>
                <w:color w:val="1F2A24"/>
                <w:sz w:val="16"/>
              </w:rPr>
              <w:t>Élevée</w:t>
            </w:r>
          </w:p>
        </w:tc>
        <w:tc>
          <w:tcPr>
            <w:tcW w:type="dxa" w:w="1550"/>
            <w:tcMar>
              <w:top w:w="100" w:type="dxa"/>
              <w:start w:w="120" w:type="dxa"/>
              <w:bottom w:w="100" w:type="dxa"/>
              <w:end w:w="120" w:type="dxa"/>
            </w:tcMar>
            <w:vAlign w:val="center"/>
          </w:tcPr>
          <w:p>
            <w:pPr>
              <w:spacing w:after="0" w:line="259" w:lineRule="auto"/>
            </w:pPr>
            <w:r>
              <w:rPr>
                <w:rFonts w:ascii="Aptos" w:hAnsi="Aptos"/>
                <w:b w:val="0"/>
                <w:i w:val="0"/>
                <w:color w:val="1F2A24"/>
                <w:sz w:val="16"/>
              </w:rPr>
              <w:t>/clients</w:t>
            </w:r>
          </w:p>
        </w:tc>
        <w:tc>
          <w:tcPr>
            <w:tcW w:type="dxa" w:w="3000"/>
            <w:tcMar>
              <w:top w:w="100" w:type="dxa"/>
              <w:start w:w="120" w:type="dxa"/>
              <w:bottom w:w="100" w:type="dxa"/>
              <w:end w:w="120" w:type="dxa"/>
            </w:tcMar>
            <w:vAlign w:val="center"/>
          </w:tcPr>
          <w:p>
            <w:pPr>
              <w:spacing w:after="0" w:line="259" w:lineRule="auto"/>
            </w:pPr>
            <w:r>
              <w:rPr>
                <w:rFonts w:ascii="Aptos" w:hAnsi="Aptos"/>
                <w:b w:val="0"/>
                <w:i w:val="0"/>
                <w:color w:val="1F2A24"/>
                <w:sz w:val="16"/>
              </w:rPr>
              <w:t>Exporter, création rapide et nouveau client se concurrencent.</w:t>
            </w:r>
          </w:p>
        </w:tc>
        <w:tc>
          <w:tcPr>
            <w:tcW w:type="dxa" w:w="3910"/>
            <w:tcMar>
              <w:top w:w="100" w:type="dxa"/>
              <w:start w:w="120" w:type="dxa"/>
              <w:bottom w:w="100" w:type="dxa"/>
              <w:end w:w="120" w:type="dxa"/>
            </w:tcMar>
            <w:vAlign w:val="center"/>
          </w:tcPr>
          <w:p>
            <w:pPr>
              <w:spacing w:after="0" w:line="259" w:lineRule="auto"/>
            </w:pPr>
            <w:r>
              <w:rPr>
                <w:rFonts w:ascii="Aptos" w:hAnsi="Aptos"/>
                <w:b w:val="0"/>
                <w:i w:val="0"/>
                <w:color w:val="1F2A24"/>
                <w:sz w:val="16"/>
              </w:rPr>
              <w:t>Garder Nouveau client comme primaire ; placer les autres dans un menu secondaire.</w:t>
            </w:r>
          </w:p>
        </w:tc>
      </w:tr>
      <w:tr>
        <w:tc>
          <w:tcPr>
            <w:tcW w:type="dxa" w:w="900"/>
            <w:shd w:fill="F5F7F5"/>
            <w:tcMar>
              <w:top w:w="100" w:type="dxa"/>
              <w:start w:w="120" w:type="dxa"/>
              <w:bottom w:w="100" w:type="dxa"/>
              <w:end w:w="120" w:type="dxa"/>
            </w:tcMar>
            <w:vAlign w:val="center"/>
          </w:tcPr>
          <w:p>
            <w:pPr>
              <w:spacing w:after="0" w:line="259" w:lineRule="auto"/>
            </w:pPr>
            <w:r>
              <w:rPr>
                <w:rFonts w:ascii="Aptos" w:hAnsi="Aptos"/>
                <w:b/>
                <w:i w:val="0"/>
                <w:color w:val="1F2A24"/>
                <w:sz w:val="16"/>
              </w:rPr>
              <w:t>Élevée</w:t>
            </w:r>
          </w:p>
        </w:tc>
        <w:tc>
          <w:tcPr>
            <w:tcW w:type="dxa" w:w="155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6"/>
              </w:rPr>
              <w:t>/clients</w:t>
            </w:r>
          </w:p>
        </w:tc>
        <w:tc>
          <w:tcPr>
            <w:tcW w:type="dxa" w:w="300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6"/>
              </w:rPr>
              <w:t>Toutes les actions de ligne sont exposées.</w:t>
            </w:r>
          </w:p>
        </w:tc>
        <w:tc>
          <w:tcPr>
            <w:tcW w:type="dxa" w:w="391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6"/>
              </w:rPr>
              <w:t>Accès à la fiche + menu persistant ; archiver dans le menu avec confirmation.</w:t>
            </w:r>
          </w:p>
        </w:tc>
      </w:tr>
      <w:tr>
        <w:tc>
          <w:tcPr>
            <w:tcW w:type="dxa" w:w="900"/>
            <w:tcMar>
              <w:top w:w="100" w:type="dxa"/>
              <w:start w:w="120" w:type="dxa"/>
              <w:bottom w:w="100" w:type="dxa"/>
              <w:end w:w="120" w:type="dxa"/>
            </w:tcMar>
            <w:vAlign w:val="center"/>
          </w:tcPr>
          <w:p>
            <w:pPr>
              <w:spacing w:after="0" w:line="259" w:lineRule="auto"/>
            </w:pPr>
            <w:r>
              <w:rPr>
                <w:rFonts w:ascii="Aptos" w:hAnsi="Aptos"/>
                <w:b/>
                <w:i w:val="0"/>
                <w:color w:val="1F2A24"/>
                <w:sz w:val="16"/>
              </w:rPr>
              <w:t>Élevée</w:t>
            </w:r>
          </w:p>
        </w:tc>
        <w:tc>
          <w:tcPr>
            <w:tcW w:type="dxa" w:w="1550"/>
            <w:tcMar>
              <w:top w:w="100" w:type="dxa"/>
              <w:start w:w="120" w:type="dxa"/>
              <w:bottom w:w="100" w:type="dxa"/>
              <w:end w:w="120" w:type="dxa"/>
            </w:tcMar>
            <w:vAlign w:val="center"/>
          </w:tcPr>
          <w:p>
            <w:pPr>
              <w:spacing w:after="0" w:line="259" w:lineRule="auto"/>
            </w:pPr>
            <w:r>
              <w:rPr>
                <w:rFonts w:ascii="Aptos" w:hAnsi="Aptos"/>
                <w:b w:val="0"/>
                <w:i w:val="0"/>
                <w:color w:val="1F2A24"/>
                <w:sz w:val="16"/>
              </w:rPr>
              <w:t>/facturation</w:t>
            </w:r>
          </w:p>
        </w:tc>
        <w:tc>
          <w:tcPr>
            <w:tcW w:type="dxa" w:w="3000"/>
            <w:tcMar>
              <w:top w:w="100" w:type="dxa"/>
              <w:start w:w="120" w:type="dxa"/>
              <w:bottom w:w="100" w:type="dxa"/>
              <w:end w:w="120" w:type="dxa"/>
            </w:tcMar>
            <w:vAlign w:val="center"/>
          </w:tcPr>
          <w:p>
            <w:pPr>
              <w:spacing w:after="0" w:line="259" w:lineRule="auto"/>
            </w:pPr>
            <w:r>
              <w:rPr>
                <w:rFonts w:ascii="Aptos" w:hAnsi="Aptos"/>
                <w:b w:val="0"/>
                <w:i w:val="0"/>
                <w:color w:val="1F2A24"/>
                <w:sz w:val="16"/>
              </w:rPr>
              <w:t>Trop de cartes avant la liste de travail.</w:t>
            </w:r>
          </w:p>
        </w:tc>
        <w:tc>
          <w:tcPr>
            <w:tcW w:type="dxa" w:w="3910"/>
            <w:tcMar>
              <w:top w:w="100" w:type="dxa"/>
              <w:start w:w="120" w:type="dxa"/>
              <w:bottom w:w="100" w:type="dxa"/>
              <w:end w:w="120" w:type="dxa"/>
            </w:tcMar>
            <w:vAlign w:val="center"/>
          </w:tcPr>
          <w:p>
            <w:pPr>
              <w:spacing w:after="0" w:line="259" w:lineRule="auto"/>
            </w:pPr>
            <w:r>
              <w:rPr>
                <w:rFonts w:ascii="Aptos" w:hAnsi="Aptos"/>
                <w:b w:val="0"/>
                <w:i w:val="0"/>
                <w:color w:val="1F2A24"/>
                <w:sz w:val="16"/>
              </w:rPr>
              <w:t>Afficher indicateurs essentiels, filtres et tableau avant les outils secondaires.</w:t>
            </w:r>
          </w:p>
        </w:tc>
      </w:tr>
      <w:tr>
        <w:tc>
          <w:tcPr>
            <w:tcW w:type="dxa" w:w="900"/>
            <w:shd w:fill="F5F7F5"/>
            <w:tcMar>
              <w:top w:w="100" w:type="dxa"/>
              <w:start w:w="120" w:type="dxa"/>
              <w:bottom w:w="100" w:type="dxa"/>
              <w:end w:w="120" w:type="dxa"/>
            </w:tcMar>
            <w:vAlign w:val="center"/>
          </w:tcPr>
          <w:p>
            <w:pPr>
              <w:spacing w:after="0" w:line="259" w:lineRule="auto"/>
            </w:pPr>
            <w:r>
              <w:rPr>
                <w:rFonts w:ascii="Aptos" w:hAnsi="Aptos"/>
                <w:b/>
                <w:i w:val="0"/>
                <w:color w:val="1F2A24"/>
                <w:sz w:val="16"/>
              </w:rPr>
              <w:t>Élevée</w:t>
            </w:r>
          </w:p>
        </w:tc>
        <w:tc>
          <w:tcPr>
            <w:tcW w:type="dxa" w:w="155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6"/>
              </w:rPr>
              <w:t>/comptes</w:t>
            </w:r>
          </w:p>
        </w:tc>
        <w:tc>
          <w:tcPr>
            <w:tcW w:type="dxa" w:w="300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6"/>
              </w:rPr>
              <w:t>Libellés français et anglais mélangés.</w:t>
            </w:r>
          </w:p>
        </w:tc>
        <w:tc>
          <w:tcPr>
            <w:tcW w:type="dxa" w:w="391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6"/>
              </w:rPr>
              <w:t>Employer Rapprochement et Rapports de conformité partout.</w:t>
            </w:r>
          </w:p>
        </w:tc>
      </w:tr>
    </w:tbl>
    <w:p>
      <w:pPr>
        <w:widowControl/>
        <w:spacing w:after="40"/>
      </w:pPr>
    </w:p>
    <w:p>
      <w:pPr>
        <w:pStyle w:val="Heading1"/>
        <w:keepNext/>
        <w:widowControl/>
      </w:pPr>
      <w:r>
        <w:t>Règle de fermeture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BECEC"/>
          </w:tcPr>
          <w:p>
            <w:pPr>
              <w:spacing w:after="0"/>
            </w:pPr>
            <w:r>
              <w:rPr>
                <w:rFonts w:ascii="Aptos" w:hAnsi="Aptos"/>
                <w:b/>
                <w:i w:val="0"/>
                <w:color w:val="9B2C2C"/>
                <w:sz w:val="20"/>
              </w:rPr>
              <w:t xml:space="preserve">BLOQUANT  </w:t>
            </w:r>
            <w:r>
              <w:rPr>
                <w:rFonts w:ascii="Aptos" w:hAnsi="Aptos"/>
                <w:b w:val="0"/>
                <w:i w:val="0"/>
                <w:color w:val="1F2A24"/>
                <w:sz w:val="20"/>
              </w:rPr>
              <w:t>Aucune amélioration visuelle ne doit être considérée terminée tant que les écrans blancs et les états silencieux persistent.</w:t>
            </w:r>
          </w:p>
        </w:tc>
      </w:tr>
    </w:tbl>
    <w:p>
      <w:pPr>
        <w:widowControl/>
        <w:spacing w:after="20"/>
      </w:pPr>
    </w:p>
    <w:p>
      <w:pPr>
        <w:widowControl/>
      </w:pPr>
      <w:r>
        <w:br w:type="page"/>
      </w:r>
    </w:p>
    <w:p>
      <w:pPr>
        <w:keepNext/>
        <w:widowControl/>
        <w:spacing w:after="160"/>
        <w:jc w:val="left"/>
      </w:pPr>
      <w:r>
        <w:rPr>
          <w:rFonts w:ascii="Aptos Display" w:hAnsi="Aptos Display"/>
          <w:b/>
          <w:i w:val="0"/>
          <w:color w:val="0B1F19"/>
          <w:sz w:val="44"/>
        </w:rPr>
        <w:t>3. Améliorations par écran</w:t>
      </w:r>
    </w:p>
    <w:p>
      <w:pPr>
        <w:pStyle w:val="Heading1"/>
        <w:keepNext/>
        <w:widowControl/>
      </w:pPr>
      <w:r>
        <w:t>Tableau de bord</w:t>
      </w:r>
    </w:p>
    <w:p>
      <w:pPr>
        <w:pStyle w:val="ListBullet"/>
        <w:widowControl/>
      </w:pPr>
      <w:r>
        <w:rPr>
          <w:rFonts w:ascii="Aptos" w:hAnsi="Aptos"/>
          <w:b w:val="0"/>
          <w:i w:val="0"/>
          <w:color w:val="1F2A24"/>
          <w:sz w:val="21"/>
        </w:rPr>
        <w:t>Préserver la palette, la typographie éditoriale et la lisibilité des montants.</w:t>
      </w:r>
    </w:p>
    <w:p>
      <w:pPr>
        <w:pStyle w:val="ListBullet"/>
        <w:widowControl/>
      </w:pPr>
      <w:r>
        <w:rPr>
          <w:rFonts w:ascii="Aptos" w:hAnsi="Aptos"/>
          <w:b w:val="0"/>
          <w:i w:val="0"/>
          <w:color w:val="1F2A24"/>
          <w:sz w:val="21"/>
        </w:rPr>
        <w:t>Réduire la compétition entre l’alerte réglementaire, les indicateurs et la section « À traiter maintenant ».</w:t>
      </w:r>
    </w:p>
    <w:p>
      <w:pPr>
        <w:pStyle w:val="ListBullet"/>
        <w:widowControl/>
      </w:pPr>
      <w:r>
        <w:rPr>
          <w:rFonts w:ascii="Aptos" w:hAnsi="Aptos"/>
          <w:b w:val="0"/>
          <w:i w:val="0"/>
          <w:color w:val="1F2A24"/>
          <w:sz w:val="21"/>
        </w:rPr>
        <w:t>Faire de la prochaine décision la première lecture, puis placer les données de contexte.</w:t>
      </w:r>
    </w:p>
    <w:p>
      <w:pPr>
        <w:pStyle w:val="ListBullet"/>
        <w:widowControl/>
      </w:pPr>
      <w:r>
        <w:rPr>
          <w:rFonts w:ascii="Aptos" w:hAnsi="Aptos"/>
          <w:b w:val="0"/>
          <w:i w:val="0"/>
          <w:color w:val="1F2A24"/>
          <w:sz w:val="21"/>
        </w:rPr>
        <w:t>Traduire les événements techniques « create », « download » et « TrustAccount » en actions métier françaises.</w:t>
      </w:r>
    </w:p>
    <w:p>
      <w:pPr>
        <w:pStyle w:val="ListBullet"/>
        <w:widowControl/>
      </w:pPr>
      <w:r>
        <w:rPr>
          <w:rFonts w:ascii="Aptos" w:hAnsi="Aptos"/>
          <w:b w:val="0"/>
          <w:i w:val="0"/>
          <w:color w:val="1F2A24"/>
          <w:sz w:val="21"/>
        </w:rPr>
        <w:t>Rendre l’alerte persistante plus compacte après sa première exposition, sans masquer l’obligation.</w:t>
      </w:r>
    </w:p>
    <w:p>
      <w:pPr>
        <w:pStyle w:val="Heading1"/>
        <w:keepNext/>
        <w:widowControl/>
      </w:pPr>
      <w:r>
        <w:t>Site public et pages d’acquisition</w:t>
      </w:r>
    </w:p>
    <w:p>
      <w:pPr>
        <w:pStyle w:val="ListBullet"/>
        <w:widowControl/>
      </w:pPr>
      <w:r>
        <w:t>Formuler chaque section depuis le résultat obtenu par le cabinet, puis montrer la capacité qui le produit.</w:t>
      </w:r>
    </w:p>
    <w:p>
      <w:pPr>
        <w:pStyle w:val="ListBullet"/>
        <w:widowControl/>
      </w:pPr>
      <w:r>
        <w:t>Remplacer les captures intégrales illisibles par des vues SAFE recadrées sur une preuve unique et réaliste.</w:t>
      </w:r>
    </w:p>
    <w:p>
      <w:pPr>
        <w:pStyle w:val="ListBullet"/>
        <w:widowControl/>
      </w:pPr>
      <w:r>
        <w:t>Éviter l’alternance mécanique texte-image ; choisir une composition propre à la preuve, au processus ou à l’objection.</w:t>
      </w:r>
    </w:p>
    <w:p>
      <w:pPr>
        <w:pStyle w:val="ListBullet"/>
        <w:widowControl/>
      </w:pPr>
      <w:r>
        <w:t>Employer logos, résultats et cas clients près des décisions, avec des preuves précises plutôt que des affirmations vagues.</w:t>
      </w:r>
    </w:p>
    <w:p>
      <w:pPr>
        <w:pStyle w:val="ListBullet"/>
        <w:widowControl/>
      </w:pPr>
      <w:r>
        <w:t>Relier les sections par des transitions discrètes, responsives et compatibles avec reduced-motion, sans dépasser les budgets LCP et CLS.</w:t>
      </w:r>
    </w:p>
    <w:p>
      <w:pPr>
        <w:pStyle w:val="Heading1"/>
        <w:keepNext/>
        <w:widowControl/>
      </w:pPr>
      <w:r>
        <w:t>Clients et dossiers</w:t>
      </w:r>
    </w:p>
    <w:p>
      <w:pPr>
        <w:pStyle w:val="ListBullet"/>
        <w:widowControl/>
      </w:pPr>
      <w:r>
        <w:rPr>
          <w:rFonts w:ascii="Aptos" w:hAnsi="Aptos"/>
          <w:b w:val="0"/>
          <w:i w:val="0"/>
          <w:color w:val="1F2A24"/>
          <w:sz w:val="21"/>
        </w:rPr>
        <w:t>Supprimer le titre redondant « Liste des… » lorsque le contexte est déjà évident.</w:t>
      </w:r>
    </w:p>
    <w:p>
      <w:pPr>
        <w:pStyle w:val="ListBullet"/>
        <w:widowControl/>
      </w:pPr>
      <w:r>
        <w:rPr>
          <w:rFonts w:ascii="Aptos" w:hAnsi="Aptos"/>
          <w:b w:val="0"/>
          <w:i w:val="0"/>
          <w:color w:val="1F2A24"/>
          <w:sz w:val="21"/>
        </w:rPr>
        <w:t>Regrouper recherche, filtres, actualisation et nombre de résultats dans une barre unique.</w:t>
      </w:r>
    </w:p>
    <w:p>
      <w:pPr>
        <w:pStyle w:val="ListBullet"/>
        <w:widowControl/>
      </w:pPr>
      <w:r>
        <w:rPr>
          <w:rFonts w:ascii="Aptos" w:hAnsi="Aptos"/>
          <w:b w:val="0"/>
          <w:i w:val="0"/>
          <w:color w:val="1F2A24"/>
          <w:sz w:val="21"/>
        </w:rPr>
        <w:t>Donner la largeur principale au nom du client ou à l’intitulé du dossier.</w:t>
      </w:r>
    </w:p>
    <w:p>
      <w:pPr>
        <w:pStyle w:val="ListBullet"/>
        <w:widowControl/>
      </w:pPr>
      <w:r>
        <w:rPr>
          <w:rFonts w:ascii="Aptos" w:hAnsi="Aptos"/>
          <w:b w:val="0"/>
          <w:i w:val="0"/>
          <w:color w:val="1F2A24"/>
          <w:sz w:val="21"/>
        </w:rPr>
        <w:t>Compresser dates, statuts et métadonnées dans des colonnes courtes.</w:t>
      </w:r>
    </w:p>
    <w:p>
      <w:pPr>
        <w:pStyle w:val="ListBullet"/>
        <w:widowControl/>
      </w:pPr>
      <w:r>
        <w:rPr>
          <w:rFonts w:ascii="Aptos" w:hAnsi="Aptos"/>
          <w:b w:val="0"/>
          <w:i w:val="0"/>
          <w:color w:val="1F2A24"/>
          <w:sz w:val="21"/>
        </w:rPr>
        <w:t>Retirer les en-têtes visibles « Actions » et « Sélection » des colonnes de contrôle.</w:t>
      </w:r>
    </w:p>
    <w:p>
      <w:pPr>
        <w:pStyle w:val="ListBullet"/>
        <w:widowControl/>
      </w:pPr>
      <w:r>
        <w:rPr>
          <w:rFonts w:ascii="Aptos" w:hAnsi="Aptos"/>
          <w:b w:val="0"/>
          <w:i w:val="0"/>
          <w:color w:val="1F2A24"/>
          <w:sz w:val="21"/>
        </w:rPr>
        <w:t>Conserver un menu de ligne persistant et maintenir la ligne surlignée pendant son ouverture.</w:t>
      </w:r>
    </w:p>
    <w:p>
      <w:pPr>
        <w:pStyle w:val="ListBullet"/>
        <w:widowControl/>
      </w:pPr>
      <w:r>
        <w:rPr>
          <w:rFonts w:ascii="Aptos" w:hAnsi="Aptos"/>
          <w:b w:val="0"/>
          <w:i w:val="0"/>
          <w:color w:val="1F2A24"/>
          <w:sz w:val="21"/>
        </w:rPr>
        <w:t>Normaliser téléphone, casse des types de dossier et formats de date.</w:t>
      </w:r>
    </w:p>
    <w:p>
      <w:pPr>
        <w:pStyle w:val="Heading1"/>
        <w:keepNext/>
        <w:pageBreakBefore/>
        <w:widowControl/>
      </w:pPr>
      <w:r>
        <w:t>Facturation</w:t>
      </w:r>
    </w:p>
    <w:p>
      <w:pPr>
        <w:pStyle w:val="ListBullet"/>
        <w:widowControl/>
      </w:pPr>
      <w:r>
        <w:rPr>
          <w:rFonts w:ascii="Aptos" w:hAnsi="Aptos"/>
          <w:b w:val="0"/>
          <w:i w:val="0"/>
          <w:color w:val="1F2A24"/>
          <w:sz w:val="21"/>
        </w:rPr>
        <w:t>Première vue : titre, bouton Facturer, quatre indicateurs décisionnels maximum, filtres, tableau.</w:t>
      </w:r>
    </w:p>
    <w:p>
      <w:pPr>
        <w:pStyle w:val="ListBullet"/>
        <w:widowControl/>
      </w:pPr>
      <w:r>
        <w:rPr>
          <w:rFonts w:ascii="Aptos" w:hAnsi="Aptos"/>
          <w:b w:val="0"/>
          <w:i w:val="0"/>
          <w:color w:val="1F2A24"/>
          <w:sz w:val="21"/>
        </w:rPr>
        <w:t>Déplacer débours, taxes, rentabilité et rapports dans une navigation locale secondaire.</w:t>
      </w:r>
    </w:p>
    <w:p>
      <w:pPr>
        <w:pStyle w:val="ListBullet"/>
        <w:widowControl/>
      </w:pPr>
      <w:r>
        <w:rPr>
          <w:rFonts w:ascii="Aptos" w:hAnsi="Aptos"/>
          <w:b w:val="0"/>
          <w:i w:val="0"/>
          <w:color w:val="1F2A24"/>
          <w:sz w:val="21"/>
        </w:rPr>
        <w:t>Remplacer « Aging des créances » par « Créances par ancienneté ».</w:t>
      </w:r>
    </w:p>
    <w:p>
      <w:pPr>
        <w:pStyle w:val="ListBullet"/>
        <w:widowControl/>
      </w:pPr>
      <w:r>
        <w:rPr>
          <w:rFonts w:ascii="Aptos" w:hAnsi="Aptos"/>
          <w:b w:val="0"/>
          <w:i w:val="0"/>
          <w:color w:val="1F2A24"/>
          <w:sz w:val="21"/>
        </w:rPr>
        <w:t>Aligner tous les montants et en-têtes numériques à droite.</w:t>
      </w:r>
    </w:p>
    <w:p>
      <w:pPr>
        <w:pStyle w:val="ListBullet"/>
        <w:widowControl/>
      </w:pPr>
      <w:r>
        <w:rPr>
          <w:rFonts w:ascii="Aptos" w:hAnsi="Aptos"/>
          <w:b w:val="0"/>
          <w:i w:val="0"/>
          <w:color w:val="1F2A24"/>
          <w:sz w:val="21"/>
        </w:rPr>
        <w:t>Soigner la fin du parcours : numéro émis, destinataire, heure d’envoi et lien de consultation.</w:t>
      </w:r>
    </w:p>
    <w:p>
      <w:pPr>
        <w:pStyle w:val="Heading1"/>
        <w:keepNext/>
        <w:widowControl/>
      </w:pPr>
      <w:r>
        <w:t>Fidéicommis</w:t>
      </w:r>
    </w:p>
    <w:p>
      <w:pPr>
        <w:pStyle w:val="ListBullet"/>
        <w:widowControl/>
      </w:pPr>
      <w:r>
        <w:rPr>
          <w:rFonts w:ascii="Aptos" w:hAnsi="Aptos"/>
          <w:b w:val="0"/>
          <w:i w:val="0"/>
          <w:color w:val="1F2A24"/>
          <w:sz w:val="21"/>
        </w:rPr>
        <w:t>Montrer immédiatement solde total, période, état, différence et action attendue.</w:t>
      </w:r>
    </w:p>
    <w:p>
      <w:pPr>
        <w:pStyle w:val="ListBullet"/>
        <w:widowControl/>
      </w:pPr>
      <w:r>
        <w:rPr>
          <w:rFonts w:ascii="Aptos" w:hAnsi="Aptos"/>
          <w:b w:val="0"/>
          <w:i w:val="0"/>
          <w:color w:val="1F2A24"/>
          <w:sz w:val="21"/>
        </w:rPr>
        <w:t>Regrouper inspection, briefing, sécurité et rapports sous « Contrôle et rapports ».</w:t>
      </w:r>
    </w:p>
    <w:p>
      <w:pPr>
        <w:pStyle w:val="ListBullet"/>
        <w:widowControl/>
      </w:pPr>
      <w:r>
        <w:rPr>
          <w:rFonts w:ascii="Aptos" w:hAnsi="Aptos"/>
          <w:b w:val="0"/>
          <w:i w:val="0"/>
          <w:color w:val="1F2A24"/>
          <w:sz w:val="21"/>
        </w:rPr>
        <w:t>Expliquer chaque contrôle désactivé, par exemple « Sélectionnez d’abord un client ».</w:t>
      </w:r>
    </w:p>
    <w:p>
      <w:pPr>
        <w:pStyle w:val="ListBullet"/>
        <w:widowControl/>
      </w:pPr>
      <w:r>
        <w:rPr>
          <w:rFonts w:ascii="Aptos" w:hAnsi="Aptos"/>
          <w:b w:val="0"/>
          <w:i w:val="0"/>
          <w:color w:val="1F2A24"/>
          <w:sz w:val="21"/>
        </w:rPr>
        <w:t>Mettre en évidence la ligne responsable d’un écart et la correction attendue.</w:t>
      </w:r>
    </w:p>
    <w:p>
      <w:pPr>
        <w:pStyle w:val="ListBullet"/>
        <w:widowControl/>
      </w:pPr>
      <w:r>
        <w:rPr>
          <w:rFonts w:ascii="Aptos" w:hAnsi="Aptos"/>
          <w:b w:val="0"/>
          <w:i w:val="0"/>
          <w:color w:val="1F2A24"/>
          <w:sz w:val="21"/>
        </w:rPr>
        <w:t>Ne jamais appliquer d’interface optimiste à une certification ou écriture comptable.</w:t>
      </w:r>
    </w:p>
    <w:p>
      <w:pPr>
        <w:widowControl/>
      </w:pPr>
      <w:r>
        <w:br w:type="page"/>
      </w:r>
    </w:p>
    <w:p>
      <w:pPr>
        <w:keepNext/>
        <w:widowControl/>
        <w:spacing w:after="160"/>
        <w:jc w:val="left"/>
      </w:pPr>
      <w:r>
        <w:rPr>
          <w:rFonts w:ascii="Aptos Display" w:hAnsi="Aptos Display"/>
          <w:b/>
          <w:i w:val="0"/>
          <w:color w:val="0B1F19"/>
          <w:sz w:val="44"/>
        </w:rPr>
        <w:t>4. Design system cible</w:t>
      </w:r>
    </w:p>
    <w:tbl>
      <w:tblPr>
        <w:tblStyle w:val="TableGrid"/>
        <w:tblW w:type="dxa" w:w="9360"/>
        <w:tblLayout w:type="fixed"/>
        <w:tblLook w:firstColumn="1" w:firstRow="1" w:lastColumn="0" w:lastRow="0" w:noHBand="0" w:noVBand="1" w:val="04A0"/>
        <w:jc w:val="left"/>
        <w:tblInd w:w="120" w:type="dxa"/>
      </w:tblPr>
      <w:tblGrid>
        <w:gridCol w:w="1500"/>
        <w:gridCol w:w="2400"/>
        <w:gridCol w:w="5460"/>
      </w:tblGrid>
      <w:tr>
        <w:trPr>
          <w:tblHeader w:val="true"/>
        </w:trPr>
        <w:tc>
          <w:tcPr>
            <w:tcW w:type="dxa" w:w="1500"/>
            <w:tcMar>
              <w:top w:w="100" w:type="dxa"/>
              <w:start w:w="120" w:type="dxa"/>
              <w:bottom w:w="100" w:type="dxa"/>
              <w:end w:w="120" w:type="dxa"/>
            </w:tcMar>
            <w:vAlign w:val="center"/>
            <w:shd w:fill="0B1F19"/>
          </w:tcPr>
          <w:p>
            <w:pPr>
              <w:spacing w:after="0"/>
            </w:pPr>
            <w:r>
              <w:rPr>
                <w:rFonts w:ascii="Aptos" w:hAnsi="Aptos"/>
                <w:b/>
                <w:i w:val="0"/>
                <w:color w:val="FFFFFF"/>
                <w:sz w:val="17"/>
              </w:rPr>
              <w:t>Système</w:t>
            </w:r>
          </w:p>
        </w:tc>
        <w:tc>
          <w:tcPr>
            <w:tcW w:type="dxa" w:w="2400"/>
            <w:tcMar>
              <w:top w:w="100" w:type="dxa"/>
              <w:start w:w="120" w:type="dxa"/>
              <w:bottom w:w="100" w:type="dxa"/>
              <w:end w:w="120" w:type="dxa"/>
            </w:tcMar>
            <w:vAlign w:val="center"/>
            <w:shd w:fill="0B1F19"/>
          </w:tcPr>
          <w:p>
            <w:pPr>
              <w:spacing w:after="0"/>
            </w:pPr>
            <w:r>
              <w:rPr>
                <w:rFonts w:ascii="Aptos" w:hAnsi="Aptos"/>
                <w:b/>
                <w:i w:val="0"/>
                <w:color w:val="FFFFFF"/>
                <w:sz w:val="17"/>
              </w:rPr>
              <w:t>Règle</w:t>
            </w:r>
          </w:p>
        </w:tc>
        <w:tc>
          <w:tcPr>
            <w:tcW w:type="dxa" w:w="5460"/>
            <w:tcMar>
              <w:top w:w="100" w:type="dxa"/>
              <w:start w:w="120" w:type="dxa"/>
              <w:bottom w:w="100" w:type="dxa"/>
              <w:end w:w="120" w:type="dxa"/>
            </w:tcMar>
            <w:vAlign w:val="center"/>
            <w:shd w:fill="0B1F19"/>
          </w:tcPr>
          <w:p>
            <w:pPr>
              <w:spacing w:after="0"/>
            </w:pPr>
            <w:r>
              <w:rPr>
                <w:rFonts w:ascii="Aptos" w:hAnsi="Aptos"/>
                <w:b/>
                <w:i w:val="0"/>
                <w:color w:val="FFFFFF"/>
                <w:sz w:val="17"/>
              </w:rPr>
              <w:t>Standard</w:t>
            </w:r>
          </w:p>
        </w:tc>
      </w:tr>
      <w:tr>
        <w:tc>
          <w:tcPr>
            <w:tcW w:type="dxa" w:w="1500"/>
            <w:tcMar>
              <w:top w:w="100" w:type="dxa"/>
              <w:start w:w="120" w:type="dxa"/>
              <w:bottom w:w="100" w:type="dxa"/>
              <w:end w:w="120" w:type="dxa"/>
            </w:tcMar>
            <w:vAlign w:val="center"/>
          </w:tcPr>
          <w:p>
            <w:pPr>
              <w:spacing w:after="0" w:line="259" w:lineRule="auto"/>
            </w:pPr>
            <w:r>
              <w:rPr>
                <w:rFonts w:ascii="Aptos" w:hAnsi="Aptos"/>
                <w:b/>
                <w:i w:val="0"/>
                <w:color w:val="1F2A24"/>
                <w:sz w:val="17"/>
              </w:rPr>
              <w:t>Couleurs</w:t>
            </w:r>
          </w:p>
        </w:tc>
        <w:tc>
          <w:tcPr>
            <w:tcW w:type="dxa" w:w="2400"/>
            <w:tcMar>
              <w:top w:w="100" w:type="dxa"/>
              <w:start w:w="120" w:type="dxa"/>
              <w:bottom w:w="100" w:type="dxa"/>
              <w:end w:w="120" w:type="dxa"/>
            </w:tcMar>
            <w:vAlign w:val="center"/>
          </w:tcPr>
          <w:p>
            <w:pPr>
              <w:spacing w:after="0" w:line="259" w:lineRule="auto"/>
            </w:pPr>
            <w:r>
              <w:rPr>
                <w:rFonts w:ascii="Aptos" w:hAnsi="Aptos"/>
                <w:b w:val="0"/>
                <w:i w:val="0"/>
                <w:color w:val="1F2A24"/>
                <w:sz w:val="17"/>
              </w:rPr>
              <w:t>Un neutre, un accent, trois statuts</w:t>
            </w:r>
          </w:p>
        </w:tc>
        <w:tc>
          <w:tcPr>
            <w:tcW w:type="dxa" w:w="5460"/>
            <w:tcMar>
              <w:top w:w="100" w:type="dxa"/>
              <w:start w:w="120" w:type="dxa"/>
              <w:bottom w:w="100" w:type="dxa"/>
              <w:end w:w="120" w:type="dxa"/>
            </w:tcMar>
            <w:vAlign w:val="center"/>
          </w:tcPr>
          <w:p>
            <w:pPr>
              <w:spacing w:after="0" w:line="259" w:lineRule="auto"/>
            </w:pPr>
            <w:r>
              <w:rPr>
                <w:rFonts w:ascii="Aptos" w:hAnsi="Aptos"/>
                <w:b w:val="0"/>
                <w:i w:val="0"/>
                <w:color w:val="1F2A24"/>
                <w:sz w:val="17"/>
              </w:rPr>
              <w:t>Action = forest ; validé = verified ; alerte = ambre ; erreur = rouge.</w:t>
            </w:r>
          </w:p>
        </w:tc>
      </w:tr>
      <w:tr>
        <w:tc>
          <w:tcPr>
            <w:tcW w:type="dxa" w:w="1500"/>
            <w:shd w:fill="F5F7F5"/>
            <w:tcMar>
              <w:top w:w="100" w:type="dxa"/>
              <w:start w:w="120" w:type="dxa"/>
              <w:bottom w:w="100" w:type="dxa"/>
              <w:end w:w="120" w:type="dxa"/>
            </w:tcMar>
            <w:vAlign w:val="center"/>
          </w:tcPr>
          <w:p>
            <w:pPr>
              <w:spacing w:after="0" w:line="259" w:lineRule="auto"/>
            </w:pPr>
            <w:r>
              <w:rPr>
                <w:rFonts w:ascii="Aptos" w:hAnsi="Aptos"/>
                <w:b/>
                <w:i w:val="0"/>
                <w:color w:val="1F2A24"/>
                <w:sz w:val="17"/>
              </w:rPr>
              <w:t>Espacement</w:t>
            </w:r>
          </w:p>
        </w:tc>
        <w:tc>
          <w:tcPr>
            <w:tcW w:type="dxa" w:w="240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7"/>
              </w:rPr>
              <w:t>Base 4</w:t>
            </w:r>
          </w:p>
        </w:tc>
        <w:tc>
          <w:tcPr>
            <w:tcW w:type="dxa" w:w="546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7"/>
              </w:rPr>
              <w:t>4, 8, 12, 16, 24, 32, 48, 64 px. Rapport intra/intergroupe ≥ 1:3.</w:t>
            </w:r>
          </w:p>
        </w:tc>
      </w:tr>
      <w:tr>
        <w:tc>
          <w:tcPr>
            <w:tcW w:type="dxa" w:w="1500"/>
            <w:tcMar>
              <w:top w:w="100" w:type="dxa"/>
              <w:start w:w="120" w:type="dxa"/>
              <w:bottom w:w="100" w:type="dxa"/>
              <w:end w:w="120" w:type="dxa"/>
            </w:tcMar>
            <w:vAlign w:val="center"/>
          </w:tcPr>
          <w:p>
            <w:pPr>
              <w:spacing w:after="0" w:line="259" w:lineRule="auto"/>
            </w:pPr>
            <w:r>
              <w:rPr>
                <w:rFonts w:ascii="Aptos" w:hAnsi="Aptos"/>
                <w:b/>
                <w:i w:val="0"/>
                <w:color w:val="1F2A24"/>
                <w:sz w:val="17"/>
              </w:rPr>
              <w:t>Rayons</w:t>
            </w:r>
          </w:p>
        </w:tc>
        <w:tc>
          <w:tcPr>
            <w:tcW w:type="dxa" w:w="2400"/>
            <w:tcMar>
              <w:top w:w="100" w:type="dxa"/>
              <w:start w:w="120" w:type="dxa"/>
              <w:bottom w:w="100" w:type="dxa"/>
              <w:end w:w="120" w:type="dxa"/>
            </w:tcMar>
            <w:vAlign w:val="center"/>
          </w:tcPr>
          <w:p>
            <w:pPr>
              <w:spacing w:after="0" w:line="259" w:lineRule="auto"/>
            </w:pPr>
            <w:r>
              <w:rPr>
                <w:rFonts w:ascii="Aptos" w:hAnsi="Aptos"/>
                <w:b w:val="0"/>
                <w:i w:val="0"/>
                <w:color w:val="1F2A24"/>
                <w:sz w:val="17"/>
              </w:rPr>
              <w:t>Rôle différencié</w:t>
            </w:r>
          </w:p>
        </w:tc>
        <w:tc>
          <w:tcPr>
            <w:tcW w:type="dxa" w:w="5460"/>
            <w:tcMar>
              <w:top w:w="100" w:type="dxa"/>
              <w:start w:w="120" w:type="dxa"/>
              <w:bottom w:w="100" w:type="dxa"/>
              <w:end w:w="120" w:type="dxa"/>
            </w:tcMar>
            <w:vAlign w:val="center"/>
          </w:tcPr>
          <w:p>
            <w:pPr>
              <w:spacing w:after="0" w:line="259" w:lineRule="auto"/>
            </w:pPr>
            <w:r>
              <w:rPr>
                <w:rFonts w:ascii="Aptos" w:hAnsi="Aptos"/>
                <w:b w:val="0"/>
                <w:i w:val="0"/>
                <w:color w:val="1F2A24"/>
                <w:sz w:val="17"/>
              </w:rPr>
              <w:t>6 px contrôles ; 8–10 px panneaux ; 12 px superpositions ; plein pour statuts.</w:t>
            </w:r>
          </w:p>
        </w:tc>
      </w:tr>
      <w:tr>
        <w:tc>
          <w:tcPr>
            <w:tcW w:type="dxa" w:w="1500"/>
            <w:shd w:fill="F5F7F5"/>
            <w:tcMar>
              <w:top w:w="100" w:type="dxa"/>
              <w:start w:w="120" w:type="dxa"/>
              <w:bottom w:w="100" w:type="dxa"/>
              <w:end w:w="120" w:type="dxa"/>
            </w:tcMar>
            <w:vAlign w:val="center"/>
          </w:tcPr>
          <w:p>
            <w:pPr>
              <w:spacing w:after="0" w:line="259" w:lineRule="auto"/>
            </w:pPr>
            <w:r>
              <w:rPr>
                <w:rFonts w:ascii="Aptos" w:hAnsi="Aptos"/>
                <w:b/>
                <w:i w:val="0"/>
                <w:color w:val="1F2A24"/>
                <w:sz w:val="17"/>
              </w:rPr>
              <w:t>Élévation</w:t>
            </w:r>
          </w:p>
        </w:tc>
        <w:tc>
          <w:tcPr>
            <w:tcW w:type="dxa" w:w="2400"/>
            <w:shd w:fill="F5F7F5"/>
            <w:tcMar>
              <w:top w:w="100" w:type="dxa"/>
              <w:start w:w="120" w:type="dxa"/>
              <w:bottom w:w="100" w:type="dxa"/>
              <w:end w:w="120" w:type="dxa"/>
            </w:tcMar>
            <w:vAlign w:val="center"/>
          </w:tcPr>
          <w:p>
            <w:r>
              <w:t>Trois plans, trois verres</w:t>
            </w:r>
          </w:p>
        </w:tc>
        <w:tc>
          <w:tcPr>
            <w:tcW w:type="dxa" w:w="5460"/>
            <w:shd w:fill="F5F7F5"/>
            <w:tcMar>
              <w:top w:w="100" w:type="dxa"/>
              <w:start w:w="120" w:type="dxa"/>
              <w:bottom w:w="100" w:type="dxa"/>
              <w:end w:w="120" w:type="dxa"/>
            </w:tcMar>
            <w:vAlign w:val="center"/>
          </w:tcPr>
          <w:p>
            <w:r>
              <w:t>Flux mat ; verre Subtle, Elevated ou Focus sur superposition réelle. Un seul Focus ; repli opaque obligatoire.</w:t>
            </w:r>
          </w:p>
        </w:tc>
      </w:tr>
      <w:tr>
        <w:tc>
          <w:tcPr>
            <w:tcW w:type="dxa" w:w="1500"/>
            <w:tcMar>
              <w:top w:w="100" w:type="dxa"/>
              <w:start w:w="120" w:type="dxa"/>
              <w:bottom w:w="100" w:type="dxa"/>
              <w:end w:w="120" w:type="dxa"/>
            </w:tcMar>
            <w:vAlign w:val="center"/>
          </w:tcPr>
          <w:p>
            <w:pPr>
              <w:spacing w:after="0" w:line="259" w:lineRule="auto"/>
            </w:pPr>
            <w:r>
              <w:rPr>
                <w:rFonts w:ascii="Aptos" w:hAnsi="Aptos"/>
                <w:b/>
                <w:i w:val="0"/>
                <w:color w:val="1F2A24"/>
                <w:sz w:val="17"/>
              </w:rPr>
              <w:t>Densité</w:t>
            </w:r>
          </w:p>
        </w:tc>
        <w:tc>
          <w:tcPr>
            <w:tcW w:type="dxa" w:w="2400"/>
            <w:tcMar>
              <w:top w:w="100" w:type="dxa"/>
              <w:start w:w="120" w:type="dxa"/>
              <w:bottom w:w="100" w:type="dxa"/>
              <w:end w:w="120" w:type="dxa"/>
            </w:tcMar>
            <w:vAlign w:val="center"/>
          </w:tcPr>
          <w:p>
            <w:pPr>
              <w:spacing w:after="0" w:line="259" w:lineRule="auto"/>
            </w:pPr>
            <w:r>
              <w:rPr>
                <w:rFonts w:ascii="Aptos" w:hAnsi="Aptos"/>
                <w:b w:val="0"/>
                <w:i w:val="0"/>
                <w:color w:val="1F2A24"/>
                <w:sz w:val="17"/>
              </w:rPr>
              <w:t>Hauteurs stables</w:t>
            </w:r>
          </w:p>
        </w:tc>
        <w:tc>
          <w:tcPr>
            <w:tcW w:type="dxa" w:w="5460"/>
            <w:tcMar>
              <w:top w:w="100" w:type="dxa"/>
              <w:start w:w="120" w:type="dxa"/>
              <w:bottom w:w="100" w:type="dxa"/>
              <w:end w:w="120" w:type="dxa"/>
            </w:tcMar>
            <w:vAlign w:val="center"/>
          </w:tcPr>
          <w:p>
            <w:pPr>
              <w:spacing w:after="0" w:line="259" w:lineRule="auto"/>
            </w:pPr>
            <w:r>
              <w:rPr>
                <w:rFonts w:ascii="Aptos" w:hAnsi="Aptos"/>
                <w:b w:val="0"/>
                <w:i w:val="0"/>
                <w:color w:val="1F2A24"/>
                <w:sz w:val="17"/>
              </w:rPr>
              <w:t>44 px ligne bureau et barre d’outils ; 56 px tactile ; cible minimale 44 px.</w:t>
            </w:r>
          </w:p>
        </w:tc>
      </w:tr>
      <w:tr>
        <w:tc>
          <w:tcPr>
            <w:tcW w:type="dxa" w:w="1500"/>
            <w:shd w:fill="F5F7F5"/>
            <w:tcMar>
              <w:top w:w="100" w:type="dxa"/>
              <w:start w:w="120" w:type="dxa"/>
              <w:bottom w:w="100" w:type="dxa"/>
              <w:end w:w="120" w:type="dxa"/>
            </w:tcMar>
            <w:vAlign w:val="center"/>
          </w:tcPr>
          <w:p>
            <w:pPr>
              <w:spacing w:after="0" w:line="259" w:lineRule="auto"/>
            </w:pPr>
            <w:r>
              <w:rPr>
                <w:rFonts w:ascii="Aptos" w:hAnsi="Aptos"/>
                <w:b/>
                <w:i w:val="0"/>
                <w:color w:val="1F2A24"/>
                <w:sz w:val="17"/>
              </w:rPr>
              <w:t>Mouvement</w:t>
            </w:r>
          </w:p>
        </w:tc>
        <w:tc>
          <w:tcPr>
            <w:tcW w:type="dxa" w:w="240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7"/>
              </w:rPr>
              <w:t>Trois durées</w:t>
            </w:r>
          </w:p>
        </w:tc>
        <w:tc>
          <w:tcPr>
            <w:tcW w:type="dxa" w:w="546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7"/>
              </w:rPr>
              <w:t>120, 180 et 260 ms ; une courbe ; reduced-motion obligatoire.</w:t>
            </w:r>
          </w:p>
        </w:tc>
      </w:tr>
      <w:tr>
        <w:tc>
          <w:tcPr>
            <w:tcW w:type="dxa" w:w="1500"/>
            <w:tcMar>
              <w:top w:w="100" w:type="dxa"/>
              <w:start w:w="120" w:type="dxa"/>
              <w:bottom w:w="100" w:type="dxa"/>
              <w:end w:w="120" w:type="dxa"/>
            </w:tcMar>
            <w:vAlign w:val="center"/>
          </w:tcPr>
          <w:p>
            <w:pPr>
              <w:spacing w:after="0" w:line="259" w:lineRule="auto"/>
            </w:pPr>
            <w:r>
              <w:rPr>
                <w:rFonts w:ascii="Aptos" w:hAnsi="Aptos"/>
                <w:b/>
                <w:i w:val="0"/>
                <w:color w:val="1F2A24"/>
                <w:sz w:val="17"/>
              </w:rPr>
              <w:t>Actions</w:t>
            </w:r>
          </w:p>
        </w:tc>
        <w:tc>
          <w:tcPr>
            <w:tcW w:type="dxa" w:w="2400"/>
            <w:tcMar>
              <w:top w:w="100" w:type="dxa"/>
              <w:start w:w="120" w:type="dxa"/>
              <w:bottom w:w="100" w:type="dxa"/>
              <w:end w:w="120" w:type="dxa"/>
            </w:tcMar>
            <w:vAlign w:val="center"/>
          </w:tcPr>
          <w:p>
            <w:pPr>
              <w:spacing w:after="0" w:line="259" w:lineRule="auto"/>
            </w:pPr>
            <w:r>
              <w:rPr>
                <w:rFonts w:ascii="Aptos" w:hAnsi="Aptos"/>
                <w:b w:val="0"/>
                <w:i w:val="0"/>
                <w:color w:val="1F2A24"/>
                <w:sz w:val="17"/>
              </w:rPr>
              <w:t>Quatre niveaux</w:t>
            </w:r>
          </w:p>
        </w:tc>
        <w:tc>
          <w:tcPr>
            <w:tcW w:type="dxa" w:w="5460"/>
            <w:tcMar>
              <w:top w:w="100" w:type="dxa"/>
              <w:start w:w="120" w:type="dxa"/>
              <w:bottom w:w="100" w:type="dxa"/>
              <w:end w:w="120" w:type="dxa"/>
            </w:tcMar>
            <w:vAlign w:val="center"/>
          </w:tcPr>
          <w:p>
            <w:pPr>
              <w:spacing w:after="0" w:line="259" w:lineRule="auto"/>
            </w:pPr>
            <w:r>
              <w:rPr>
                <w:rFonts w:ascii="Aptos" w:hAnsi="Aptos"/>
                <w:b w:val="0"/>
                <w:i w:val="0"/>
                <w:color w:val="1F2A24"/>
                <w:sz w:val="17"/>
              </w:rPr>
              <w:t>Primaire, secondaire, discrète, destructive. Une seule primaire visible.</w:t>
            </w:r>
          </w:p>
        </w:tc>
      </w:tr>
      <w:tr>
        <w:tc>
          <w:tcPr>
            <w:tcW w:type="dxa" w:w="1500"/>
            <w:tcPr>
              <w:tcW w:type="dxa" w:w="1500"/>
              <w:tcMar>
                <w:top w:w="100" w:type="dxa"/>
                <w:start w:w="120" w:type="dxa"/>
                <w:bottom w:w="100" w:type="dxa"/>
                <w:end w:w="120" w:type="dxa"/>
              </w:tcMar>
              <w:vAlign w:val="center"/>
            </w:tcPr>
          </w:tcPr>
          <w:p>
            <w:r>
              <w:t>Mode sombre</w:t>
            </w:r>
          </w:p>
        </w:tc>
        <w:tc>
          <w:tcPr>
            <w:tcW w:type="dxa" w:w="2400"/>
            <w:tcPr>
              <w:tcW w:type="dxa" w:w="2400"/>
              <w:tcMar>
                <w:top w:w="100" w:type="dxa"/>
                <w:start w:w="120" w:type="dxa"/>
                <w:bottom w:w="100" w:type="dxa"/>
                <w:end w:w="120" w:type="dxa"/>
              </w:tcMar>
              <w:vAlign w:val="center"/>
            </w:tcPr>
          </w:tcPr>
          <w:p>
            <w:r>
              <w:t>Profondeur par surfaces</w:t>
            </w:r>
          </w:p>
        </w:tc>
        <w:tc>
          <w:tcPr>
            <w:tcW w:type="dxa" w:w="5460"/>
            <w:tcPr>
              <w:tcW w:type="dxa" w:w="5460"/>
              <w:tcMar>
                <w:top w:w="100" w:type="dxa"/>
                <w:start w:w="120" w:type="dxa"/>
                <w:bottom w:w="100" w:type="dxa"/>
                <w:end w:w="120" w:type="dxa"/>
              </w:tcMar>
              <w:vAlign w:val="center"/>
            </w:tcPr>
          </w:tcPr>
          <w:p>
            <w:r>
              <w:t>Fond sombre ; plans élevés plus clairs ; bordures calmes ; contraste AA revalidé.</w:t>
            </w:r>
          </w:p>
        </w:tc>
      </w:tr>
    </w:tbl>
    <w:p>
      <w:pPr>
        <w:widowControl/>
        <w:spacing w:after="40"/>
      </w:pPr>
    </w:p>
    <w:p>
      <w:pPr>
        <w:pStyle w:val="Heading1"/>
        <w:keepNext/>
        <w:widowControl/>
      </w:pPr>
      <w:r>
        <w:t>États obligatoires</w:t>
      </w:r>
    </w:p>
    <w:p>
      <w:pPr>
        <w:pStyle w:val="ListBullet"/>
        <w:widowControl/>
      </w:pPr>
      <w:r>
        <w:rPr>
          <w:rFonts w:ascii="Aptos" w:hAnsi="Aptos"/>
          <w:b w:val="0"/>
          <w:i w:val="0"/>
          <w:color w:val="1F2A24"/>
          <w:sz w:val="21"/>
        </w:rPr>
        <w:t>Matrice par contrôle : repos, survol, focus clavier, pressé et désactivé.</w:t>
      </w:r>
    </w:p>
    <w:p>
      <w:pPr>
        <w:pStyle w:val="ListBullet"/>
        <w:widowControl/>
      </w:pPr>
      <w:r>
        <w:rPr>
          <w:rFonts w:ascii="Aptos" w:hAnsi="Aptos"/>
          <w:b w:val="0"/>
          <w:i w:val="0"/>
          <w:color w:val="1F2A24"/>
          <w:sz w:val="21"/>
        </w:rPr>
        <w:t>États de parcours : chargement, vide, succès, avertissement et erreur selon le contexte.</w:t>
      </w:r>
    </w:p>
    <w:p>
      <w:pPr>
        <w:pStyle w:val="ListBullet"/>
        <w:widowControl/>
      </w:pPr>
      <w:r>
        <w:rPr>
          <w:rFonts w:ascii="Aptos" w:hAnsi="Aptos"/>
          <w:b w:val="0"/>
          <w:i w:val="0"/>
          <w:color w:val="1F2A24"/>
          <w:sz w:val="21"/>
        </w:rPr>
        <w:t>Enregistrement en cours, enregistré et échec pour chaque mutation.</w:t>
      </w:r>
    </w:p>
    <w:p>
      <w:pPr>
        <w:pStyle w:val="ListBullet"/>
        <w:widowControl/>
      </w:pPr>
      <w:r>
        <w:rPr>
          <w:rFonts w:ascii="Aptos" w:hAnsi="Aptos"/>
          <w:b w:val="0"/>
          <w:i w:val="0"/>
          <w:color w:val="1F2A24"/>
          <w:sz w:val="21"/>
        </w:rPr>
        <w:t>Confirmation discrète, proche de l’objet et annoncée aux technologies d’assistance.</w:t>
      </w:r>
    </w:p>
    <w:p>
      <w:pPr>
        <w:pStyle w:val="ListBullet"/>
        <w:widowControl/>
      </w:pPr>
      <w:r>
        <w:rPr>
          <w:rFonts w:ascii="Aptos" w:hAnsi="Aptos"/>
          <w:b w:val="0"/>
          <w:i w:val="0"/>
          <w:color w:val="1F2A24"/>
          <w:sz w:val="21"/>
        </w:rPr>
        <w:t>Raison visible ou accessible pour chaque bouton désactivé.</w:t>
      </w:r>
    </w:p>
    <w:p>
      <w:pPr>
        <w:pStyle w:val="ListBullet"/>
      </w:pPr>
      <w:r>
        <w:t>Affordance explicite : libellé, forme et état permettent de comprendre le contrôle sans mode d’emploi.</w:t>
      </w:r>
    </w:p>
    <w:p>
      <w:pPr>
        <w:pStyle w:val="ListBullet"/>
      </w:pPr>
      <w:r>
        <w:t>Icônes alignées sur la hauteur de ligne ; bouton fantôme réservé à l’action secondaire.</w:t>
      </w:r>
    </w:p>
    <w:p>
      <w:pPr>
        <w:pStyle w:val="ListBullet"/>
      </w:pPr>
      <w:r>
        <w:t>Mode sombre recomposé : surfaces élevées plus claires, bordures atténuées et accents moins saturés.</w:t>
      </w:r>
    </w:p>
    <w:p>
      <w:pPr>
        <w:pStyle w:val="Heading1"/>
        <w:keepNext/>
        <w:widowControl/>
      </w:pPr>
      <w:r>
        <w:t>Microcopie</w:t>
      </w:r>
    </w:p>
    <w:p>
      <w:pPr>
        <w:pStyle w:val="ListBullet"/>
        <w:widowControl/>
      </w:pPr>
      <w:r>
        <w:rPr>
          <w:rFonts w:ascii="Aptos" w:hAnsi="Aptos"/>
          <w:b w:val="0"/>
          <w:i w:val="0"/>
          <w:color w:val="1F2A24"/>
          <w:sz w:val="21"/>
        </w:rPr>
        <w:t>Vouvoiement partout, aucune phrase en anglais dans un contexte français.</w:t>
      </w:r>
    </w:p>
    <w:p>
      <w:pPr>
        <w:pStyle w:val="ListBullet"/>
        <w:widowControl/>
      </w:pPr>
      <w:r>
        <w:rPr>
          <w:rFonts w:ascii="Aptos" w:hAnsi="Aptos"/>
          <w:b w:val="0"/>
          <w:i w:val="0"/>
          <w:color w:val="1F2A24"/>
          <w:sz w:val="21"/>
        </w:rPr>
        <w:t>Vocabulaire du cabinet, jamais celui du schéma technique.</w:t>
      </w:r>
    </w:p>
    <w:p>
      <w:pPr>
        <w:pStyle w:val="ListBullet"/>
        <w:widowControl/>
      </w:pPr>
      <w:r>
        <w:rPr>
          <w:rFonts w:ascii="Aptos" w:hAnsi="Aptos"/>
          <w:b w:val="0"/>
          <w:i w:val="0"/>
          <w:color w:val="1F2A24"/>
          <w:sz w:val="21"/>
        </w:rPr>
        <w:t>Erreurs structurées en deux temps : ce qui s’est passé, puis quoi faire.</w:t>
      </w:r>
    </w:p>
    <w:p>
      <w:pPr>
        <w:pStyle w:val="ListBullet"/>
        <w:widowControl/>
      </w:pPr>
      <w:r>
        <w:rPr>
          <w:rFonts w:ascii="Aptos" w:hAnsi="Aptos"/>
          <w:b w:val="0"/>
          <w:i w:val="0"/>
          <w:color w:val="1F2A24"/>
          <w:sz w:val="21"/>
        </w:rPr>
        <w:t>Libellés d’action avec un verbe concret : Facturer, Rapprocher, Télécharger, Archiver.</w:t>
      </w:r>
    </w:p>
    <w:p>
      <w:pPr>
        <w:pStyle w:val="ListBullet"/>
        <w:widowControl/>
      </w:pPr>
      <w:r>
        <w:rPr>
          <w:rFonts w:ascii="Aptos" w:hAnsi="Aptos"/>
          <w:b w:val="0"/>
          <w:i w:val="0"/>
          <w:color w:val="1F2A24"/>
          <w:sz w:val="21"/>
        </w:rPr>
        <w:t>Aucun emoji, aucune exclamation, aucune félicitation artificielle.</w:t>
      </w:r>
    </w:p>
    <w:p>
      <w:pPr>
        <w:widowControl/>
      </w:pPr>
      <w:r>
        <w:br w:type="page"/>
      </w:r>
    </w:p>
    <w:p>
      <w:pPr>
        <w:keepNext/>
        <w:widowControl/>
        <w:spacing w:after="160"/>
        <w:jc w:val="left"/>
      </w:pPr>
      <w:r>
        <w:rPr>
          <w:rFonts w:ascii="Aptos Display" w:hAnsi="Aptos Display"/>
          <w:b/>
          <w:i w:val="0"/>
          <w:color w:val="0B1F19"/>
          <w:sz w:val="44"/>
        </w:rPr>
        <w:t>5. Responsive, accessibilité et performance</w:t>
      </w:r>
    </w:p>
    <w:p>
      <w:pPr>
        <w:pStyle w:val="Heading1"/>
        <w:keepNext/>
        <w:widowControl/>
      </w:pPr>
      <w:r>
        <w:t>Responsive et mobile-first</w:t>
      </w:r>
    </w:p>
    <w:p>
      <w:pPr>
        <w:widowControl/>
      </w:pPr>
      <w:r>
        <w:rPr>
          <w:rFonts w:ascii="Aptos" w:hAnsi="Aptos"/>
          <w:b w:val="0"/>
          <w:i w:val="0"/>
          <w:color w:val="1F2A24"/>
          <w:sz w:val="21"/>
        </w:rPr>
        <w:t>Le mobile-first est une priorisation, pas une réduction de la version bureau.</w:t>
      </w:r>
    </w:p>
    <w:p>
      <w:pPr>
        <w:pStyle w:val="ListBullet"/>
        <w:widowControl/>
      </w:pPr>
      <w:r>
        <w:rPr>
          <w:rFonts w:ascii="Aptos" w:hAnsi="Aptos"/>
          <w:b w:val="0"/>
          <w:i w:val="0"/>
          <w:color w:val="1F2A24"/>
          <w:sz w:val="21"/>
        </w:rPr>
        <w:t>Conserver identité, statut, montant critique et action principale.</w:t>
      </w:r>
    </w:p>
    <w:p>
      <w:pPr>
        <w:pStyle w:val="ListBullet"/>
        <w:widowControl/>
      </w:pPr>
      <w:r>
        <w:rPr>
          <w:rFonts w:ascii="Aptos" w:hAnsi="Aptos"/>
          <w:b w:val="0"/>
          <w:i w:val="0"/>
          <w:color w:val="1F2A24"/>
          <w:sz w:val="21"/>
        </w:rPr>
        <w:t>Replier les filtres secondaires dans un panneau indiquant le nombre de filtres actifs.</w:t>
      </w:r>
    </w:p>
    <w:p>
      <w:pPr>
        <w:pStyle w:val="ListBullet"/>
        <w:widowControl/>
      </w:pPr>
      <w:r>
        <w:rPr>
          <w:rFonts w:ascii="Aptos" w:hAnsi="Aptos"/>
          <w:b w:val="0"/>
          <w:i w:val="0"/>
          <w:color w:val="1F2A24"/>
          <w:sz w:val="21"/>
        </w:rPr>
        <w:t>Réordonner les blocs selon leur importance au lieu de les empiler mécaniquement.</w:t>
      </w:r>
    </w:p>
    <w:p>
      <w:pPr>
        <w:pStyle w:val="ListBullet"/>
        <w:widowControl/>
      </w:pPr>
      <w:r>
        <w:rPr>
          <w:rFonts w:ascii="Aptos" w:hAnsi="Aptos"/>
          <w:b w:val="0"/>
          <w:i w:val="0"/>
          <w:color w:val="1F2A24"/>
          <w:sz w:val="21"/>
        </w:rPr>
        <w:t>Limiter le défilement horizontal au conteneur d’un tableau réellement bidimensionnel.</w:t>
      </w:r>
    </w:p>
    <w:p>
      <w:pPr>
        <w:pStyle w:val="ListBullet"/>
        <w:widowControl/>
      </w:pPr>
      <w:r>
        <w:rPr>
          <w:rFonts w:ascii="Aptos" w:hAnsi="Aptos"/>
          <w:b w:val="0"/>
          <w:i w:val="0"/>
          <w:color w:val="1F2A24"/>
          <w:sz w:val="21"/>
        </w:rPr>
        <w:t>Figer ou répéter l’identité de la ligne lorsque la comparaison l’exige.</w:t>
      </w:r>
    </w:p>
    <w:p>
      <w:pPr>
        <w:pStyle w:val="ListBullet"/>
        <w:widowControl/>
      </w:pPr>
      <w:r>
        <w:rPr>
          <w:rFonts w:ascii="Aptos" w:hAnsi="Aptos"/>
          <w:b w:val="0"/>
          <w:i w:val="0"/>
          <w:color w:val="1F2A24"/>
          <w:sz w:val="21"/>
        </w:rPr>
        <w:t>Tester 1440×900, 1280×800, 768×1024, 390×844 et le reflow à 320 px.</w:t>
      </w:r>
    </w:p>
    <w:p>
      <w:pPr>
        <w:pStyle w:val="Heading1"/>
        <w:keepNext/>
        <w:widowControl/>
      </w:pPr>
      <w:r>
        <w:t>Accessibilité</w:t>
      </w:r>
    </w:p>
    <w:p>
      <w:pPr>
        <w:pStyle w:val="ListBullet"/>
        <w:widowControl/>
      </w:pPr>
      <w:r>
        <w:rPr>
          <w:rFonts w:ascii="Aptos" w:hAnsi="Aptos"/>
          <w:b w:val="0"/>
          <w:i w:val="0"/>
          <w:color w:val="1F2A24"/>
          <w:sz w:val="21"/>
        </w:rPr>
        <w:t>Contraste minimal de 4,5:1 pour le texte courant.</w:t>
      </w:r>
    </w:p>
    <w:p>
      <w:pPr>
        <w:pStyle w:val="ListBullet"/>
        <w:widowControl/>
      </w:pPr>
      <w:r>
        <w:rPr>
          <w:rFonts w:ascii="Aptos" w:hAnsi="Aptos"/>
          <w:b w:val="0"/>
          <w:i w:val="0"/>
          <w:color w:val="1F2A24"/>
          <w:sz w:val="21"/>
        </w:rPr>
        <w:t>Focus visible, suffisamment contrasté et jamais masqué par un élément fixe.</w:t>
      </w:r>
    </w:p>
    <w:p>
      <w:pPr>
        <w:pStyle w:val="ListBullet"/>
        <w:widowControl/>
      </w:pPr>
      <w:r>
        <w:rPr>
          <w:rFonts w:ascii="Aptos" w:hAnsi="Aptos"/>
          <w:b w:val="0"/>
          <w:i w:val="0"/>
          <w:color w:val="1F2A24"/>
          <w:sz w:val="21"/>
        </w:rPr>
        <w:t>Navigation complète au clavier avec ordre cohérent.</w:t>
      </w:r>
    </w:p>
    <w:p>
      <w:pPr>
        <w:pStyle w:val="ListBullet"/>
        <w:widowControl/>
      </w:pPr>
      <w:r>
        <w:rPr>
          <w:rFonts w:ascii="Aptos" w:hAnsi="Aptos"/>
          <w:b w:val="0"/>
          <w:i w:val="0"/>
          <w:color w:val="1F2A24"/>
          <w:sz w:val="21"/>
        </w:rPr>
        <w:t>Nom accessible sur chaque icône et contrôle sans texte.</w:t>
      </w:r>
    </w:p>
    <w:p>
      <w:pPr>
        <w:pStyle w:val="ListBullet"/>
        <w:widowControl/>
      </w:pPr>
      <w:r>
        <w:rPr>
          <w:rFonts w:ascii="Aptos" w:hAnsi="Aptos"/>
          <w:b w:val="0"/>
          <w:i w:val="0"/>
          <w:color w:val="1F2A24"/>
          <w:sz w:val="21"/>
        </w:rPr>
        <w:t>Aucune information portée uniquement par la couleur.</w:t>
      </w:r>
    </w:p>
    <w:p>
      <w:pPr>
        <w:pStyle w:val="ListBullet"/>
        <w:widowControl/>
      </w:pPr>
      <w:r>
        <w:rPr>
          <w:rFonts w:ascii="Aptos" w:hAnsi="Aptos"/>
          <w:b w:val="0"/>
          <w:i w:val="0"/>
          <w:color w:val="1F2A24"/>
          <w:sz w:val="21"/>
        </w:rPr>
        <w:t>Zoom à 200 % sans perte et reflow à 400 % selon WCAG 1.4.10.</w:t>
      </w:r>
    </w:p>
    <w:p>
      <w:pPr>
        <w:pStyle w:val="ListBullet"/>
        <w:widowControl/>
      </w:pPr>
      <w:r>
        <w:rPr>
          <w:rFonts w:ascii="Aptos" w:hAnsi="Aptos"/>
          <w:b w:val="0"/>
          <w:i w:val="0"/>
          <w:color w:val="1F2A24"/>
          <w:sz w:val="21"/>
        </w:rPr>
        <w:t>Cibles fréquentes d’au moins 44×44 px.</w:t>
      </w:r>
    </w:p>
    <w:p>
      <w:pPr>
        <w:pStyle w:val="Heading1"/>
        <w:keepNext/>
        <w:widowControl/>
      </w:pPr>
      <w:r>
        <w:t>Budgets de performance</w:t>
      </w:r>
    </w:p>
    <w:tbl>
      <w:tblPr>
        <w:tblStyle w:val="TableGrid"/>
        <w:tblW w:type="dxa" w:w="9360"/>
        <w:tblLayout w:type="fixed"/>
        <w:tblLook w:firstColumn="1" w:firstRow="1" w:lastColumn="0" w:lastRow="0" w:noHBand="0" w:noVBand="1" w:val="04A0"/>
        <w:jc w:val="left"/>
        <w:tblInd w:w="120" w:type="dxa"/>
      </w:tblPr>
      <w:tblGrid>
        <w:gridCol w:w="3100"/>
        <w:gridCol w:w="1500"/>
        <w:gridCol w:w="4760"/>
      </w:tblGrid>
      <w:tr>
        <w:trPr>
          <w:tblHeader w:val="true"/>
        </w:trPr>
        <w:tc>
          <w:tcPr>
            <w:tcW w:type="dxa" w:w="3100"/>
            <w:tcMar>
              <w:top w:w="100" w:type="dxa"/>
              <w:start w:w="120" w:type="dxa"/>
              <w:bottom w:w="100" w:type="dxa"/>
              <w:end w:w="120" w:type="dxa"/>
            </w:tcMar>
            <w:vAlign w:val="center"/>
            <w:shd w:fill="0B1F19"/>
          </w:tcPr>
          <w:p>
            <w:pPr>
              <w:spacing w:after="0"/>
            </w:pPr>
            <w:r>
              <w:rPr>
                <w:rFonts w:ascii="Aptos" w:hAnsi="Aptos"/>
                <w:b/>
                <w:i w:val="0"/>
                <w:color w:val="FFFFFF"/>
                <w:sz w:val="18"/>
              </w:rPr>
              <w:t>Mesure</w:t>
            </w:r>
          </w:p>
        </w:tc>
        <w:tc>
          <w:tcPr>
            <w:tcW w:type="dxa" w:w="1500"/>
            <w:tcMar>
              <w:top w:w="100" w:type="dxa"/>
              <w:start w:w="120" w:type="dxa"/>
              <w:bottom w:w="100" w:type="dxa"/>
              <w:end w:w="120" w:type="dxa"/>
            </w:tcMar>
            <w:vAlign w:val="center"/>
            <w:shd w:fill="0B1F19"/>
          </w:tcPr>
          <w:p>
            <w:pPr>
              <w:spacing w:after="0"/>
            </w:pPr>
            <w:r>
              <w:rPr>
                <w:rFonts w:ascii="Aptos" w:hAnsi="Aptos"/>
                <w:b/>
                <w:i w:val="0"/>
                <w:color w:val="FFFFFF"/>
                <w:sz w:val="18"/>
              </w:rPr>
              <w:t>Cible</w:t>
            </w:r>
          </w:p>
        </w:tc>
        <w:tc>
          <w:tcPr>
            <w:tcW w:type="dxa" w:w="4760"/>
            <w:tcMar>
              <w:top w:w="100" w:type="dxa"/>
              <w:start w:w="120" w:type="dxa"/>
              <w:bottom w:w="100" w:type="dxa"/>
              <w:end w:w="120" w:type="dxa"/>
            </w:tcMar>
            <w:vAlign w:val="center"/>
            <w:shd w:fill="0B1F19"/>
          </w:tcPr>
          <w:p>
            <w:pPr>
              <w:spacing w:after="0"/>
            </w:pPr>
            <w:r>
              <w:rPr>
                <w:rFonts w:ascii="Aptos" w:hAnsi="Aptos"/>
                <w:b/>
                <w:i w:val="0"/>
                <w:color w:val="FFFFFF"/>
                <w:sz w:val="18"/>
              </w:rPr>
              <w:t>Validation</w:t>
            </w:r>
          </w:p>
        </w:tc>
      </w:tr>
      <w:tr>
        <w:tc>
          <w:tcPr>
            <w:tcW w:type="dxa" w:w="3100"/>
            <w:tcMar>
              <w:top w:w="100" w:type="dxa"/>
              <w:start w:w="120" w:type="dxa"/>
              <w:bottom w:w="100" w:type="dxa"/>
              <w:end w:w="120" w:type="dxa"/>
            </w:tcMar>
            <w:vAlign w:val="center"/>
          </w:tcPr>
          <w:p>
            <w:pPr>
              <w:spacing w:after="0" w:line="259" w:lineRule="auto"/>
            </w:pPr>
            <w:r>
              <w:rPr>
                <w:rFonts w:ascii="Aptos" w:hAnsi="Aptos"/>
                <w:b/>
                <w:i w:val="0"/>
                <w:color w:val="1F2A24"/>
                <w:sz w:val="18"/>
              </w:rPr>
              <w:t>Retour visuel après un geste</w:t>
            </w:r>
          </w:p>
        </w:tc>
        <w:tc>
          <w:tcPr>
            <w:tcW w:type="dxa" w:w="1500"/>
            <w:tcMar>
              <w:top w:w="100" w:type="dxa"/>
              <w:start w:w="120" w:type="dxa"/>
              <w:bottom w:w="100" w:type="dxa"/>
              <w:end w:w="120" w:type="dxa"/>
            </w:tcMar>
            <w:vAlign w:val="center"/>
          </w:tcPr>
          <w:p>
            <w:pPr>
              <w:spacing w:after="0" w:line="259" w:lineRule="auto"/>
            </w:pPr>
            <w:r>
              <w:rPr>
                <w:rFonts w:ascii="Aptos" w:hAnsi="Aptos"/>
                <w:b w:val="0"/>
                <w:i w:val="0"/>
                <w:color w:val="1F2A24"/>
                <w:sz w:val="18"/>
              </w:rPr>
              <w:t>&lt; 100 ms</w:t>
            </w:r>
          </w:p>
        </w:tc>
        <w:tc>
          <w:tcPr>
            <w:tcW w:type="dxa" w:w="4760"/>
            <w:tcMar>
              <w:top w:w="100" w:type="dxa"/>
              <w:start w:w="120" w:type="dxa"/>
              <w:bottom w:w="100" w:type="dxa"/>
              <w:end w:w="120" w:type="dxa"/>
            </w:tcMar>
            <w:vAlign w:val="center"/>
          </w:tcPr>
          <w:p>
            <w:pPr>
              <w:spacing w:after="0" w:line="259" w:lineRule="auto"/>
            </w:pPr>
            <w:r>
              <w:rPr>
                <w:rFonts w:ascii="Aptos" w:hAnsi="Aptos"/>
                <w:b w:val="0"/>
                <w:i w:val="0"/>
                <w:color w:val="1F2A24"/>
                <w:sz w:val="18"/>
              </w:rPr>
              <w:t>Mesure locale sur les actions fréquentes</w:t>
            </w:r>
          </w:p>
        </w:tc>
      </w:tr>
      <w:tr>
        <w:tc>
          <w:tcPr>
            <w:tcW w:type="dxa" w:w="3100"/>
            <w:shd w:fill="F5F7F5"/>
            <w:tcMar>
              <w:top w:w="100" w:type="dxa"/>
              <w:start w:w="120" w:type="dxa"/>
              <w:bottom w:w="100" w:type="dxa"/>
              <w:end w:w="120" w:type="dxa"/>
            </w:tcMar>
            <w:vAlign w:val="center"/>
          </w:tcPr>
          <w:p>
            <w:pPr>
              <w:spacing w:after="0" w:line="259" w:lineRule="auto"/>
            </w:pPr>
            <w:r>
              <w:rPr>
                <w:rFonts w:ascii="Aptos" w:hAnsi="Aptos"/>
                <w:b/>
                <w:i w:val="0"/>
                <w:color w:val="1F2A24"/>
                <w:sz w:val="18"/>
              </w:rPr>
              <w:t>INP</w:t>
            </w:r>
          </w:p>
        </w:tc>
        <w:tc>
          <w:tcPr>
            <w:tcW w:type="dxa" w:w="150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8"/>
              </w:rPr>
              <w:t>≤ 200 ms</w:t>
            </w:r>
          </w:p>
        </w:tc>
        <w:tc>
          <w:tcPr>
            <w:tcW w:type="dxa" w:w="476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8"/>
              </w:rPr>
              <w:t>75e centile en conditions terrain</w:t>
            </w:r>
          </w:p>
        </w:tc>
      </w:tr>
      <w:tr>
        <w:tc>
          <w:tcPr>
            <w:tcW w:type="dxa" w:w="3100"/>
            <w:tcMar>
              <w:top w:w="100" w:type="dxa"/>
              <w:start w:w="120" w:type="dxa"/>
              <w:bottom w:w="100" w:type="dxa"/>
              <w:end w:w="120" w:type="dxa"/>
            </w:tcMar>
            <w:vAlign w:val="center"/>
          </w:tcPr>
          <w:p>
            <w:pPr>
              <w:spacing w:after="0" w:line="259" w:lineRule="auto"/>
            </w:pPr>
            <w:r>
              <w:rPr>
                <w:rFonts w:ascii="Aptos" w:hAnsi="Aptos"/>
                <w:b/>
                <w:i w:val="0"/>
                <w:color w:val="1F2A24"/>
                <w:sz w:val="18"/>
              </w:rPr>
              <w:t>Premier rendu utile interne</w:t>
            </w:r>
          </w:p>
        </w:tc>
        <w:tc>
          <w:tcPr>
            <w:tcW w:type="dxa" w:w="1500"/>
            <w:tcMar>
              <w:top w:w="100" w:type="dxa"/>
              <w:start w:w="120" w:type="dxa"/>
              <w:bottom w:w="100" w:type="dxa"/>
              <w:end w:w="120" w:type="dxa"/>
            </w:tcMar>
            <w:vAlign w:val="center"/>
          </w:tcPr>
          <w:p>
            <w:pPr>
              <w:spacing w:after="0" w:line="259" w:lineRule="auto"/>
            </w:pPr>
            <w:r>
              <w:rPr>
                <w:rFonts w:ascii="Aptos" w:hAnsi="Aptos"/>
                <w:b w:val="0"/>
                <w:i w:val="0"/>
                <w:color w:val="1F2A24"/>
                <w:sz w:val="18"/>
              </w:rPr>
              <w:t>&lt; 1 s</w:t>
            </w:r>
          </w:p>
        </w:tc>
        <w:tc>
          <w:tcPr>
            <w:tcW w:type="dxa" w:w="4760"/>
            <w:tcMar>
              <w:top w:w="100" w:type="dxa"/>
              <w:start w:w="120" w:type="dxa"/>
              <w:bottom w:w="100" w:type="dxa"/>
              <w:end w:w="120" w:type="dxa"/>
            </w:tcMar>
            <w:vAlign w:val="center"/>
          </w:tcPr>
          <w:p>
            <w:pPr>
              <w:spacing w:after="0" w:line="259" w:lineRule="auto"/>
            </w:pPr>
            <w:r>
              <w:rPr>
                <w:rFonts w:ascii="Aptos" w:hAnsi="Aptos"/>
                <w:b w:val="0"/>
                <w:i w:val="0"/>
                <w:color w:val="1F2A24"/>
                <w:sz w:val="18"/>
              </w:rPr>
              <w:t>Écran exploitable, pas seulement coque</w:t>
            </w:r>
          </w:p>
        </w:tc>
      </w:tr>
      <w:tr>
        <w:tc>
          <w:tcPr>
            <w:tcW w:type="dxa" w:w="3100"/>
            <w:shd w:fill="F5F7F5"/>
            <w:tcMar>
              <w:top w:w="100" w:type="dxa"/>
              <w:start w:w="120" w:type="dxa"/>
              <w:bottom w:w="100" w:type="dxa"/>
              <w:end w:w="120" w:type="dxa"/>
            </w:tcMar>
            <w:vAlign w:val="center"/>
          </w:tcPr>
          <w:p>
            <w:pPr>
              <w:spacing w:after="0" w:line="259" w:lineRule="auto"/>
            </w:pPr>
            <w:r>
              <w:rPr>
                <w:rFonts w:ascii="Aptos" w:hAnsi="Aptos"/>
                <w:b/>
                <w:i w:val="0"/>
                <w:color w:val="1F2A24"/>
                <w:sz w:val="18"/>
              </w:rPr>
              <w:t>LCP public</w:t>
            </w:r>
          </w:p>
        </w:tc>
        <w:tc>
          <w:tcPr>
            <w:tcW w:type="dxa" w:w="150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8"/>
              </w:rPr>
              <w:t>≤ 2,5 s</w:t>
            </w:r>
          </w:p>
        </w:tc>
        <w:tc>
          <w:tcPr>
            <w:tcW w:type="dxa" w:w="476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8"/>
              </w:rPr>
              <w:t>Mobile et bureau</w:t>
            </w:r>
          </w:p>
        </w:tc>
      </w:tr>
      <w:tr>
        <w:tc>
          <w:tcPr>
            <w:tcW w:type="dxa" w:w="3100"/>
            <w:tcMar>
              <w:top w:w="100" w:type="dxa"/>
              <w:start w:w="120" w:type="dxa"/>
              <w:bottom w:w="100" w:type="dxa"/>
              <w:end w:w="120" w:type="dxa"/>
            </w:tcMar>
            <w:vAlign w:val="center"/>
          </w:tcPr>
          <w:p>
            <w:pPr>
              <w:spacing w:after="0" w:line="259" w:lineRule="auto"/>
            </w:pPr>
            <w:r>
              <w:rPr>
                <w:rFonts w:ascii="Aptos" w:hAnsi="Aptos"/>
                <w:b/>
                <w:i w:val="0"/>
                <w:color w:val="1F2A24"/>
                <w:sz w:val="18"/>
              </w:rPr>
              <w:t>CLS</w:t>
            </w:r>
          </w:p>
        </w:tc>
        <w:tc>
          <w:tcPr>
            <w:tcW w:type="dxa" w:w="1500"/>
            <w:tcMar>
              <w:top w:w="100" w:type="dxa"/>
              <w:start w:w="120" w:type="dxa"/>
              <w:bottom w:w="100" w:type="dxa"/>
              <w:end w:w="120" w:type="dxa"/>
            </w:tcMar>
            <w:vAlign w:val="center"/>
          </w:tcPr>
          <w:p>
            <w:pPr>
              <w:spacing w:after="0" w:line="259" w:lineRule="auto"/>
            </w:pPr>
            <w:r>
              <w:rPr>
                <w:rFonts w:ascii="Aptos" w:hAnsi="Aptos"/>
                <w:b w:val="0"/>
                <w:i w:val="0"/>
                <w:color w:val="1F2A24"/>
                <w:sz w:val="18"/>
              </w:rPr>
              <w:t>≤ 0,1</w:t>
            </w:r>
          </w:p>
        </w:tc>
        <w:tc>
          <w:tcPr>
            <w:tcW w:type="dxa" w:w="4760"/>
            <w:tcMar>
              <w:top w:w="100" w:type="dxa"/>
              <w:start w:w="120" w:type="dxa"/>
              <w:bottom w:w="100" w:type="dxa"/>
              <w:end w:w="120" w:type="dxa"/>
            </w:tcMar>
            <w:vAlign w:val="center"/>
          </w:tcPr>
          <w:p>
            <w:pPr>
              <w:spacing w:after="0" w:line="259" w:lineRule="auto"/>
            </w:pPr>
            <w:r>
              <w:rPr>
                <w:rFonts w:ascii="Aptos" w:hAnsi="Aptos"/>
                <w:b w:val="0"/>
                <w:i w:val="0"/>
                <w:color w:val="1F2A24"/>
                <w:sz w:val="18"/>
              </w:rPr>
              <w:t>Aucun déplacement perturbant</w:t>
            </w:r>
          </w:p>
        </w:tc>
      </w:tr>
      <w:tr>
        <w:tc>
          <w:tcPr>
            <w:tcW w:type="dxa" w:w="3100"/>
            <w:shd w:fill="F5F7F5"/>
            <w:tcMar>
              <w:top w:w="100" w:type="dxa"/>
              <w:start w:w="120" w:type="dxa"/>
              <w:bottom w:w="100" w:type="dxa"/>
              <w:end w:w="120" w:type="dxa"/>
            </w:tcMar>
            <w:vAlign w:val="center"/>
          </w:tcPr>
          <w:p>
            <w:pPr>
              <w:spacing w:after="0" w:line="259" w:lineRule="auto"/>
            </w:pPr>
            <w:r>
              <w:rPr>
                <w:rFonts w:ascii="Aptos" w:hAnsi="Aptos"/>
                <w:b/>
                <w:i w:val="0"/>
                <w:color w:val="1F2A24"/>
                <w:sz w:val="18"/>
              </w:rPr>
              <w:t>Opération longue</w:t>
            </w:r>
          </w:p>
        </w:tc>
        <w:tc>
          <w:tcPr>
            <w:tcW w:type="dxa" w:w="150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8"/>
              </w:rPr>
              <w:t>&gt; 400 ms</w:t>
            </w:r>
          </w:p>
        </w:tc>
        <w:tc>
          <w:tcPr>
            <w:tcW w:type="dxa" w:w="476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8"/>
              </w:rPr>
              <w:t>Indicateur de progression obligatoire</w:t>
            </w:r>
          </w:p>
        </w:tc>
      </w:tr>
    </w:tbl>
    <w:p>
      <w:pPr>
        <w:widowControl/>
        <w:spacing w:after="40"/>
      </w:pPr>
    </w:p>
    <w:p>
      <w:pPr>
        <w:widowControl/>
      </w:pPr>
      <w:r>
        <w:br w:type="page"/>
      </w:r>
    </w:p>
    <w:p>
      <w:pPr>
        <w:keepNext/>
        <w:widowControl/>
        <w:spacing w:after="160"/>
        <w:jc w:val="left"/>
      </w:pPr>
      <w:r>
        <w:rPr>
          <w:rFonts w:ascii="Aptos Display" w:hAnsi="Aptos Display"/>
          <w:b/>
          <w:i w:val="0"/>
          <w:color w:val="0B1F19"/>
          <w:sz w:val="44"/>
        </w:rPr>
        <w:t>6. Feuille de route d’exécution</w:t>
      </w:r>
    </w:p>
    <w:tbl>
      <w:tblPr>
        <w:tblStyle w:val="TableGrid"/>
        <w:tblW w:type="dxa" w:w="9360"/>
        <w:tblLayout w:type="fixed"/>
        <w:tblLook w:firstColumn="1" w:firstRow="1" w:lastColumn="0" w:lastRow="0" w:noHBand="0" w:noVBand="1" w:val="04A0"/>
        <w:jc w:val="left"/>
        <w:tblInd w:w="120" w:type="dxa"/>
      </w:tblPr>
      <w:tblGrid>
        <w:gridCol w:w="780"/>
        <w:gridCol w:w="1500"/>
        <w:gridCol w:w="3900"/>
        <w:gridCol w:w="3180"/>
      </w:tblGrid>
      <w:tr>
        <w:trPr>
          <w:tblHeader w:val="true"/>
        </w:trPr>
        <w:tc>
          <w:tcPr>
            <w:tcW w:type="dxa" w:w="780"/>
            <w:tcMar>
              <w:top w:w="100" w:type="dxa"/>
              <w:start w:w="120" w:type="dxa"/>
              <w:bottom w:w="100" w:type="dxa"/>
              <w:end w:w="120" w:type="dxa"/>
            </w:tcMar>
            <w:vAlign w:val="center"/>
            <w:shd w:fill="0B1F19"/>
          </w:tcPr>
          <w:p>
            <w:pPr>
              <w:spacing w:after="0"/>
            </w:pPr>
            <w:r>
              <w:rPr>
                <w:rFonts w:ascii="Aptos" w:hAnsi="Aptos"/>
                <w:b/>
                <w:i w:val="0"/>
                <w:color w:val="FFFFFF"/>
                <w:sz w:val="16"/>
              </w:rPr>
              <w:t>Lot</w:t>
            </w:r>
          </w:p>
        </w:tc>
        <w:tc>
          <w:tcPr>
            <w:tcW w:type="dxa" w:w="1500"/>
            <w:tcMar>
              <w:top w:w="100" w:type="dxa"/>
              <w:start w:w="120" w:type="dxa"/>
              <w:bottom w:w="100" w:type="dxa"/>
              <w:end w:w="120" w:type="dxa"/>
            </w:tcMar>
            <w:vAlign w:val="center"/>
            <w:shd w:fill="0B1F19"/>
          </w:tcPr>
          <w:p>
            <w:pPr>
              <w:spacing w:after="0"/>
            </w:pPr>
            <w:r>
              <w:rPr>
                <w:rFonts w:ascii="Aptos" w:hAnsi="Aptos"/>
                <w:b/>
                <w:i w:val="0"/>
                <w:color w:val="FFFFFF"/>
                <w:sz w:val="16"/>
              </w:rPr>
              <w:t>Objectif</w:t>
            </w:r>
          </w:p>
        </w:tc>
        <w:tc>
          <w:tcPr>
            <w:tcW w:type="dxa" w:w="3900"/>
            <w:tcMar>
              <w:top w:w="100" w:type="dxa"/>
              <w:start w:w="120" w:type="dxa"/>
              <w:bottom w:w="100" w:type="dxa"/>
              <w:end w:w="120" w:type="dxa"/>
            </w:tcMar>
            <w:vAlign w:val="center"/>
            <w:shd w:fill="0B1F19"/>
          </w:tcPr>
          <w:p>
            <w:pPr>
              <w:spacing w:after="0"/>
            </w:pPr>
            <w:r>
              <w:rPr>
                <w:rFonts w:ascii="Aptos" w:hAnsi="Aptos"/>
                <w:b/>
                <w:i w:val="0"/>
                <w:color w:val="FFFFFF"/>
                <w:sz w:val="16"/>
              </w:rPr>
              <w:t>Périmètre</w:t>
            </w:r>
          </w:p>
        </w:tc>
        <w:tc>
          <w:tcPr>
            <w:tcW w:type="dxa" w:w="3180"/>
            <w:tcMar>
              <w:top w:w="100" w:type="dxa"/>
              <w:start w:w="120" w:type="dxa"/>
              <w:bottom w:w="100" w:type="dxa"/>
              <w:end w:w="120" w:type="dxa"/>
            </w:tcMar>
            <w:vAlign w:val="center"/>
            <w:shd w:fill="0B1F19"/>
          </w:tcPr>
          <w:p>
            <w:pPr>
              <w:spacing w:after="0"/>
            </w:pPr>
            <w:r>
              <w:rPr>
                <w:rFonts w:ascii="Aptos" w:hAnsi="Aptos"/>
                <w:b/>
                <w:i w:val="0"/>
                <w:color w:val="FFFFFF"/>
                <w:sz w:val="16"/>
              </w:rPr>
              <w:t>Condition de terminé</w:t>
            </w:r>
          </w:p>
        </w:tc>
      </w:tr>
      <w:tr>
        <w:tc>
          <w:tcPr>
            <w:tcW w:type="dxa" w:w="780"/>
            <w:tcMar>
              <w:top w:w="100" w:type="dxa"/>
              <w:start w:w="120" w:type="dxa"/>
              <w:bottom w:w="100" w:type="dxa"/>
              <w:end w:w="120" w:type="dxa"/>
            </w:tcMar>
            <w:vAlign w:val="center"/>
          </w:tcPr>
          <w:p>
            <w:pPr>
              <w:spacing w:after="0" w:line="259" w:lineRule="auto"/>
            </w:pPr>
            <w:r>
              <w:rPr>
                <w:rFonts w:ascii="Aptos" w:hAnsi="Aptos"/>
                <w:b/>
                <w:i w:val="0"/>
                <w:color w:val="1F2A24"/>
                <w:sz w:val="16"/>
              </w:rPr>
              <w:t>Lot 1</w:t>
            </w:r>
          </w:p>
        </w:tc>
        <w:tc>
          <w:tcPr>
            <w:tcW w:type="dxa" w:w="1500"/>
            <w:tcMar>
              <w:top w:w="100" w:type="dxa"/>
              <w:start w:w="120" w:type="dxa"/>
              <w:bottom w:w="100" w:type="dxa"/>
              <w:end w:w="120" w:type="dxa"/>
            </w:tcMar>
            <w:vAlign w:val="center"/>
          </w:tcPr>
          <w:p>
            <w:pPr>
              <w:spacing w:after="0" w:line="259" w:lineRule="auto"/>
            </w:pPr>
            <w:r>
              <w:rPr>
                <w:rFonts w:ascii="Aptos" w:hAnsi="Aptos"/>
                <w:b w:val="0"/>
                <w:i w:val="0"/>
                <w:color w:val="1F2A24"/>
                <w:sz w:val="16"/>
              </w:rPr>
              <w:t>Fiabilité</w:t>
            </w:r>
          </w:p>
        </w:tc>
        <w:tc>
          <w:tcPr>
            <w:tcW w:type="dxa" w:w="3900"/>
            <w:tcMar>
              <w:top w:w="100" w:type="dxa"/>
              <w:start w:w="120" w:type="dxa"/>
              <w:bottom w:w="100" w:type="dxa"/>
              <w:end w:w="120" w:type="dxa"/>
            </w:tcMar>
            <w:vAlign w:val="center"/>
          </w:tcPr>
          <w:p>
            <w:pPr>
              <w:spacing w:after="0" w:line="259" w:lineRule="auto"/>
            </w:pPr>
            <w:r>
              <w:rPr>
                <w:rFonts w:ascii="Aptos" w:hAnsi="Aptos"/>
                <w:b w:val="0"/>
                <w:i w:val="0"/>
                <w:color w:val="1F2A24"/>
                <w:sz w:val="16"/>
              </w:rPr>
              <w:t>Rapprochement, temps, error.tsx, loading.tsx, états vides</w:t>
            </w:r>
          </w:p>
        </w:tc>
        <w:tc>
          <w:tcPr>
            <w:tcW w:type="dxa" w:w="3180"/>
            <w:tcMar>
              <w:top w:w="100" w:type="dxa"/>
              <w:start w:w="120" w:type="dxa"/>
              <w:bottom w:w="100" w:type="dxa"/>
              <w:end w:w="120" w:type="dxa"/>
            </w:tcMar>
            <w:vAlign w:val="center"/>
          </w:tcPr>
          <w:p>
            <w:pPr>
              <w:spacing w:after="0" w:line="259" w:lineRule="auto"/>
            </w:pPr>
            <w:r>
              <w:rPr>
                <w:rFonts w:ascii="Aptos" w:hAnsi="Aptos"/>
                <w:b w:val="0"/>
                <w:i w:val="0"/>
                <w:color w:val="1F2A24"/>
                <w:sz w:val="16"/>
              </w:rPr>
              <w:t>Aucun écran blanc ; reprise possible</w:t>
            </w:r>
          </w:p>
        </w:tc>
      </w:tr>
      <w:tr>
        <w:tc>
          <w:tcPr>
            <w:tcW w:type="dxa" w:w="780"/>
            <w:shd w:fill="F5F7F5"/>
            <w:tcMar>
              <w:top w:w="100" w:type="dxa"/>
              <w:start w:w="120" w:type="dxa"/>
              <w:bottom w:w="100" w:type="dxa"/>
              <w:end w:w="120" w:type="dxa"/>
            </w:tcMar>
            <w:vAlign w:val="center"/>
          </w:tcPr>
          <w:p>
            <w:pPr>
              <w:spacing w:after="0" w:line="259" w:lineRule="auto"/>
            </w:pPr>
            <w:r>
              <w:rPr>
                <w:rFonts w:ascii="Aptos" w:hAnsi="Aptos"/>
                <w:b/>
                <w:i w:val="0"/>
                <w:color w:val="1F2A24"/>
                <w:sz w:val="16"/>
              </w:rPr>
              <w:t>Lot 2</w:t>
            </w:r>
          </w:p>
        </w:tc>
        <w:tc>
          <w:tcPr>
            <w:tcW w:type="dxa" w:w="150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6"/>
              </w:rPr>
              <w:t>Hiérarchie</w:t>
            </w:r>
          </w:p>
        </w:tc>
        <w:tc>
          <w:tcPr>
            <w:tcW w:type="dxa" w:w="390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6"/>
              </w:rPr>
              <w:t>Dashboard, Clients, Dossiers, Facturation, Comptes</w:t>
            </w:r>
          </w:p>
        </w:tc>
        <w:tc>
          <w:tcPr>
            <w:tcW w:type="dxa" w:w="318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6"/>
              </w:rPr>
              <w:t>Une action pleine et ordre de lecture clair</w:t>
            </w:r>
          </w:p>
        </w:tc>
      </w:tr>
      <w:tr>
        <w:tc>
          <w:tcPr>
            <w:tcW w:type="dxa" w:w="780"/>
            <w:tcMar>
              <w:top w:w="100" w:type="dxa"/>
              <w:start w:w="120" w:type="dxa"/>
              <w:bottom w:w="100" w:type="dxa"/>
              <w:end w:w="120" w:type="dxa"/>
            </w:tcMar>
            <w:vAlign w:val="center"/>
          </w:tcPr>
          <w:p>
            <w:pPr>
              <w:spacing w:after="0" w:line="259" w:lineRule="auto"/>
            </w:pPr>
            <w:r>
              <w:rPr>
                <w:rFonts w:ascii="Aptos" w:hAnsi="Aptos"/>
                <w:b/>
                <w:i w:val="0"/>
                <w:color w:val="1F2A24"/>
                <w:sz w:val="16"/>
              </w:rPr>
              <w:t>Lot 3</w:t>
            </w:r>
          </w:p>
        </w:tc>
        <w:tc>
          <w:tcPr>
            <w:tcW w:type="dxa" w:w="1500"/>
            <w:tcMar>
              <w:top w:w="100" w:type="dxa"/>
              <w:start w:w="120" w:type="dxa"/>
              <w:bottom w:w="100" w:type="dxa"/>
              <w:end w:w="120" w:type="dxa"/>
            </w:tcMar>
            <w:vAlign w:val="center"/>
          </w:tcPr>
          <w:p>
            <w:pPr>
              <w:spacing w:after="0" w:line="259" w:lineRule="auto"/>
            </w:pPr>
            <w:r>
              <w:rPr>
                <w:rFonts w:ascii="Aptos" w:hAnsi="Aptos"/>
                <w:b w:val="0"/>
                <w:i w:val="0"/>
                <w:color w:val="1F2A24"/>
                <w:sz w:val="16"/>
              </w:rPr>
              <w:t>Système</w:t>
            </w:r>
          </w:p>
        </w:tc>
        <w:tc>
          <w:tcPr>
            <w:tcW w:type="dxa" w:w="3900"/>
            <w:tcMar>
              <w:top w:w="100" w:type="dxa"/>
              <w:start w:w="120" w:type="dxa"/>
              <w:bottom w:w="100" w:type="dxa"/>
              <w:end w:w="120" w:type="dxa"/>
            </w:tcMar>
            <w:vAlign w:val="center"/>
          </w:tcPr>
          <w:p>
            <w:pPr>
              <w:spacing w:after="0" w:line="259" w:lineRule="auto"/>
            </w:pPr>
            <w:r>
              <w:rPr>
                <w:rFonts w:ascii="Aptos" w:hAnsi="Aptos"/>
                <w:b w:val="0"/>
                <w:i w:val="0"/>
                <w:color w:val="1F2A24"/>
                <w:sz w:val="16"/>
              </w:rPr>
              <w:t>Boutons, tables, filtres, formulaires, microcopie</w:t>
            </w:r>
          </w:p>
        </w:tc>
        <w:tc>
          <w:tcPr>
            <w:tcW w:type="dxa" w:w="3180"/>
            <w:tcMar>
              <w:top w:w="100" w:type="dxa"/>
              <w:start w:w="120" w:type="dxa"/>
              <w:bottom w:w="100" w:type="dxa"/>
              <w:end w:w="120" w:type="dxa"/>
            </w:tcMar>
            <w:vAlign w:val="center"/>
          </w:tcPr>
          <w:p>
            <w:pPr>
              <w:spacing w:after="0" w:line="259" w:lineRule="auto"/>
            </w:pPr>
            <w:r>
              <w:rPr>
                <w:rFonts w:ascii="Aptos" w:hAnsi="Aptos"/>
                <w:b w:val="0"/>
                <w:i w:val="0"/>
                <w:color w:val="1F2A24"/>
                <w:sz w:val="16"/>
              </w:rPr>
              <w:t>Primitives uniques et page de spécimens</w:t>
            </w:r>
          </w:p>
        </w:tc>
      </w:tr>
      <w:tr>
        <w:tc>
          <w:tcPr>
            <w:tcW w:type="dxa" w:w="780"/>
            <w:shd w:fill="F5F7F5"/>
            <w:tcMar>
              <w:top w:w="100" w:type="dxa"/>
              <w:start w:w="120" w:type="dxa"/>
              <w:bottom w:w="100" w:type="dxa"/>
              <w:end w:w="120" w:type="dxa"/>
            </w:tcMar>
            <w:vAlign w:val="center"/>
          </w:tcPr>
          <w:p>
            <w:pPr>
              <w:spacing w:after="0" w:line="259" w:lineRule="auto"/>
            </w:pPr>
            <w:r>
              <w:rPr>
                <w:rFonts w:ascii="Aptos" w:hAnsi="Aptos"/>
                <w:b/>
                <w:i w:val="0"/>
                <w:color w:val="1F2A24"/>
                <w:sz w:val="16"/>
              </w:rPr>
              <w:t>Lot 4</w:t>
            </w:r>
          </w:p>
        </w:tc>
        <w:tc>
          <w:tcPr>
            <w:tcW w:type="dxa" w:w="150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6"/>
              </w:rPr>
              <w:t>Accessibilité</w:t>
            </w:r>
          </w:p>
        </w:tc>
        <w:tc>
          <w:tcPr>
            <w:tcW w:type="dxa" w:w="390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6"/>
              </w:rPr>
              <w:t>Clavier, focus, contraste, reflow, tactile</w:t>
            </w:r>
          </w:p>
        </w:tc>
        <w:tc>
          <w:tcPr>
            <w:tcW w:type="dxa" w:w="318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6"/>
              </w:rPr>
              <w:t>WCAG 2.2 AA sur parcours prioritaires</w:t>
            </w:r>
          </w:p>
        </w:tc>
      </w:tr>
      <w:tr>
        <w:tc>
          <w:tcPr>
            <w:tcW w:type="dxa" w:w="780"/>
            <w:tcMar>
              <w:top w:w="100" w:type="dxa"/>
              <w:start w:w="120" w:type="dxa"/>
              <w:bottom w:w="100" w:type="dxa"/>
              <w:end w:w="120" w:type="dxa"/>
            </w:tcMar>
            <w:vAlign w:val="center"/>
          </w:tcPr>
          <w:p>
            <w:pPr>
              <w:spacing w:after="0" w:line="259" w:lineRule="auto"/>
            </w:pPr>
            <w:r>
              <w:rPr>
                <w:rFonts w:ascii="Aptos" w:hAnsi="Aptos"/>
                <w:b/>
                <w:i w:val="0"/>
                <w:color w:val="1F2A24"/>
                <w:sz w:val="16"/>
              </w:rPr>
              <w:t>Lot 5</w:t>
            </w:r>
          </w:p>
        </w:tc>
        <w:tc>
          <w:tcPr>
            <w:tcW w:type="dxa" w:w="1500"/>
            <w:tcMar>
              <w:top w:w="100" w:type="dxa"/>
              <w:start w:w="120" w:type="dxa"/>
              <w:bottom w:w="100" w:type="dxa"/>
              <w:end w:w="120" w:type="dxa"/>
            </w:tcMar>
            <w:vAlign w:val="center"/>
          </w:tcPr>
          <w:p>
            <w:pPr>
              <w:spacing w:after="0" w:line="259" w:lineRule="auto"/>
            </w:pPr>
            <w:r>
              <w:rPr>
                <w:rFonts w:ascii="Aptos" w:hAnsi="Aptos"/>
                <w:b w:val="0"/>
                <w:i w:val="0"/>
                <w:color w:val="1F2A24"/>
                <w:sz w:val="16"/>
              </w:rPr>
              <w:t>Performance</w:t>
            </w:r>
          </w:p>
        </w:tc>
        <w:tc>
          <w:tcPr>
            <w:tcW w:type="dxa" w:w="3900"/>
            <w:tcMar>
              <w:top w:w="100" w:type="dxa"/>
              <w:start w:w="120" w:type="dxa"/>
              <w:bottom w:w="100" w:type="dxa"/>
              <w:end w:w="120" w:type="dxa"/>
            </w:tcMar>
            <w:vAlign w:val="center"/>
          </w:tcPr>
          <w:p>
            <w:pPr>
              <w:spacing w:after="0" w:line="259" w:lineRule="auto"/>
            </w:pPr>
            <w:r>
              <w:rPr>
                <w:rFonts w:ascii="Aptos" w:hAnsi="Aptos"/>
                <w:b w:val="0"/>
                <w:i w:val="0"/>
                <w:color w:val="1F2A24"/>
                <w:sz w:val="16"/>
              </w:rPr>
              <w:t>Mesures, préchargement, rechargements, paquets</w:t>
            </w:r>
          </w:p>
        </w:tc>
        <w:tc>
          <w:tcPr>
            <w:tcW w:type="dxa" w:w="3180"/>
            <w:tcMar>
              <w:top w:w="100" w:type="dxa"/>
              <w:start w:w="120" w:type="dxa"/>
              <w:bottom w:w="100" w:type="dxa"/>
              <w:end w:w="120" w:type="dxa"/>
            </w:tcMar>
            <w:vAlign w:val="center"/>
          </w:tcPr>
          <w:p>
            <w:pPr>
              <w:spacing w:after="0" w:line="259" w:lineRule="auto"/>
            </w:pPr>
            <w:r>
              <w:rPr>
                <w:rFonts w:ascii="Aptos" w:hAnsi="Aptos"/>
                <w:b w:val="0"/>
                <w:i w:val="0"/>
                <w:color w:val="1F2A24"/>
                <w:sz w:val="16"/>
              </w:rPr>
              <w:t>Budgets respectés et suivis en CI</w:t>
            </w:r>
          </w:p>
        </w:tc>
      </w:tr>
      <w:tr>
        <w:tc>
          <w:tcPr>
            <w:tcW w:type="dxa" w:w="780"/>
            <w:shd w:fill="F5F7F5"/>
            <w:tcMar>
              <w:top w:w="100" w:type="dxa"/>
              <w:start w:w="120" w:type="dxa"/>
              <w:bottom w:w="100" w:type="dxa"/>
              <w:end w:w="120" w:type="dxa"/>
            </w:tcMar>
            <w:vAlign w:val="center"/>
          </w:tcPr>
          <w:p>
            <w:pPr>
              <w:spacing w:after="0" w:line="259" w:lineRule="auto"/>
            </w:pPr>
            <w:r>
              <w:rPr>
                <w:rFonts w:ascii="Aptos" w:hAnsi="Aptos"/>
                <w:b/>
                <w:i w:val="0"/>
                <w:color w:val="1F2A24"/>
                <w:sz w:val="16"/>
              </w:rPr>
              <w:t>Lot 6</w:t>
            </w:r>
          </w:p>
        </w:tc>
        <w:tc>
          <w:tcPr>
            <w:tcW w:type="dxa" w:w="1500"/>
            <w:shd w:fill="F5F7F5"/>
            <w:tcMar>
              <w:top w:w="100" w:type="dxa"/>
              <w:start w:w="120" w:type="dxa"/>
              <w:bottom w:w="100" w:type="dxa"/>
              <w:end w:w="120" w:type="dxa"/>
            </w:tcMar>
            <w:vAlign w:val="center"/>
          </w:tcPr>
          <w:p>
            <w:pPr>
              <w:spacing w:after="0" w:line="259" w:lineRule="auto"/>
            </w:pPr>
            <w:r>
              <w:rPr>
                <w:rFonts w:ascii="Aptos" w:hAnsi="Aptos"/>
                <w:b w:val="0"/>
                <w:i w:val="0"/>
                <w:color w:val="1F2A24"/>
                <w:sz w:val="16"/>
              </w:rPr>
              <w:t>Finition</w:t>
            </w:r>
          </w:p>
        </w:tc>
        <w:tc>
          <w:tcPr>
            <w:tcW w:type="dxa" w:w="3900"/>
            <w:shd w:fill="F5F7F5"/>
            <w:tcMar>
              <w:top w:w="100" w:type="dxa"/>
              <w:start w:w="120" w:type="dxa"/>
              <w:bottom w:w="100" w:type="dxa"/>
              <w:end w:w="120" w:type="dxa"/>
            </w:tcMar>
            <w:vAlign w:val="center"/>
          </w:tcPr>
          <w:p>
            <w:r>
              <w:t>Site public, preuves produit, index archivistique, profondeur, transitions, responsive</w:t>
            </w:r>
          </w:p>
        </w:tc>
        <w:tc>
          <w:tcPr>
            <w:tcW w:type="dxa" w:w="3180"/>
            <w:shd w:fill="F5F7F5"/>
            <w:tcMar>
              <w:top w:w="100" w:type="dxa"/>
              <w:start w:w="120" w:type="dxa"/>
              <w:bottom w:w="100" w:type="dxa"/>
              <w:end w:w="120" w:type="dxa"/>
            </w:tcMar>
            <w:vAlign w:val="center"/>
          </w:tcPr>
          <w:p>
            <w:r>
              <w:t>Cohérence premium sur vitrine et écrans secondaires</w:t>
            </w:r>
          </w:p>
        </w:tc>
      </w:tr>
    </w:tbl>
    <w:p>
      <w:pPr>
        <w:widowControl/>
        <w:spacing w:after="40"/>
      </w:pPr>
    </w:p>
    <w:p>
      <w:pPr>
        <w:pStyle w:val="Heading1"/>
        <w:keepNext/>
        <w:widowControl/>
      </w:pPr>
      <w:r>
        <w:t>Priorité immédiate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6E6"/>
          </w:tcPr>
          <w:p>
            <w:pPr>
              <w:spacing w:after="0"/>
            </w:pPr>
            <w:r>
              <w:rPr>
                <w:rFonts w:ascii="Aptos" w:hAnsi="Aptos"/>
                <w:b/>
                <w:i w:val="0"/>
                <w:color w:val="B07A1C"/>
                <w:sz w:val="20"/>
              </w:rPr>
              <w:t xml:space="preserve">PROCHAINE ACTION  </w:t>
            </w:r>
            <w:r>
              <w:rPr>
                <w:rFonts w:ascii="Aptos" w:hAnsi="Aptos"/>
                <w:b w:val="0"/>
                <w:i w:val="0"/>
                <w:color w:val="1F2A24"/>
                <w:sz w:val="20"/>
              </w:rPr>
              <w:t>Corriger et tester /comptes/rapprochement et /temps avant d’ouvrir un lot de raffinement visuel.</w:t>
            </w:r>
          </w:p>
        </w:tc>
      </w:tr>
    </w:tbl>
    <w:p>
      <w:pPr>
        <w:widowControl/>
        <w:spacing w:after="20"/>
      </w:pPr>
    </w:p>
    <w:p>
      <w:pPr>
        <w:pStyle w:val="Heading1"/>
        <w:keepNext/>
        <w:widowControl/>
      </w:pPr>
      <w:r>
        <w:t>Mesures produit à suivre</w:t>
      </w:r>
    </w:p>
    <w:p>
      <w:pPr>
        <w:pStyle w:val="ListBullet"/>
        <w:widowControl/>
      </w:pPr>
      <w:r>
        <w:rPr>
          <w:rFonts w:ascii="Aptos" w:hAnsi="Aptos"/>
          <w:b w:val="0"/>
          <w:i w:val="0"/>
          <w:color w:val="1F2A24"/>
          <w:sz w:val="21"/>
        </w:rPr>
        <w:t>Temps nécessaire pour saisir une entrée de temps.</w:t>
      </w:r>
    </w:p>
    <w:p>
      <w:pPr>
        <w:pStyle w:val="ListBullet"/>
        <w:widowControl/>
      </w:pPr>
      <w:r>
        <w:rPr>
          <w:rFonts w:ascii="Aptos" w:hAnsi="Aptos"/>
          <w:b w:val="0"/>
          <w:i w:val="0"/>
          <w:color w:val="1F2A24"/>
          <w:sz w:val="21"/>
        </w:rPr>
        <w:t>Temps nécessaire pour trouver un client ou un dossier.</w:t>
      </w:r>
    </w:p>
    <w:p>
      <w:pPr>
        <w:pStyle w:val="ListBullet"/>
        <w:widowControl/>
      </w:pPr>
      <w:r>
        <w:rPr>
          <w:rFonts w:ascii="Aptos" w:hAnsi="Aptos"/>
          <w:b w:val="0"/>
          <w:i w:val="0"/>
          <w:color w:val="1F2A24"/>
          <w:sz w:val="21"/>
        </w:rPr>
        <w:t>Taux d’abandon du rapprochement.</w:t>
      </w:r>
    </w:p>
    <w:p>
      <w:pPr>
        <w:pStyle w:val="ListBullet"/>
        <w:widowControl/>
      </w:pPr>
      <w:r>
        <w:rPr>
          <w:rFonts w:ascii="Aptos" w:hAnsi="Aptos"/>
          <w:b w:val="0"/>
          <w:i w:val="0"/>
          <w:color w:val="1F2A24"/>
          <w:sz w:val="21"/>
        </w:rPr>
        <w:t>Nombre d’erreurs de saisie et de corrections.</w:t>
      </w:r>
    </w:p>
    <w:p>
      <w:pPr>
        <w:pStyle w:val="ListBullet"/>
        <w:widowControl/>
      </w:pPr>
      <w:r>
        <w:rPr>
          <w:rFonts w:ascii="Aptos" w:hAnsi="Aptos"/>
          <w:b w:val="0"/>
          <w:i w:val="0"/>
          <w:color w:val="1F2A24"/>
          <w:sz w:val="21"/>
        </w:rPr>
        <w:t>Taux de réussite au premier essai sur les parcours critiques.</w:t>
      </w:r>
    </w:p>
    <w:p>
      <w:pPr>
        <w:pStyle w:val="ListBullet"/>
        <w:widowControl/>
      </w:pPr>
      <w:r>
        <w:rPr>
          <w:rFonts w:ascii="Aptos" w:hAnsi="Aptos"/>
          <w:b w:val="0"/>
          <w:i w:val="0"/>
          <w:color w:val="1F2A24"/>
          <w:sz w:val="21"/>
        </w:rPr>
        <w:t>INP, LCP, CLS et fréquence des erreurs de route.</w:t>
      </w:r>
    </w:p>
    <w:p>
      <w:pPr>
        <w:widowControl/>
      </w:pPr>
      <w:r>
        <w:br w:type="page"/>
      </w:r>
    </w:p>
    <w:p>
      <w:pPr>
        <w:keepNext/>
        <w:widowControl/>
        <w:spacing w:after="160"/>
        <w:jc w:val="left"/>
      </w:pPr>
      <w:r>
        <w:rPr>
          <w:rFonts w:ascii="Aptos Display" w:hAnsi="Aptos Display"/>
          <w:b/>
          <w:i w:val="0"/>
          <w:color w:val="0B1F19"/>
          <w:sz w:val="44"/>
        </w:rPr>
        <w:t>7. Checklist de livraison</w:t>
      </w:r>
    </w:p>
    <w:p>
      <w:pPr>
        <w:widowControl/>
        <w:spacing w:after="80"/>
        <w:ind w:left="259"/>
      </w:pPr>
      <w:r>
        <w:rPr>
          <w:rFonts w:ascii="Aptos" w:hAnsi="Aptos"/>
          <w:b w:val="0"/>
          <w:i w:val="0"/>
          <w:color w:val="1F2A24"/>
          <w:sz w:val="21"/>
        </w:rPr>
        <w:t>☐ Une seule action principale visible.</w:t>
      </w:r>
    </w:p>
    <w:p>
      <w:pPr>
        <w:widowControl/>
        <w:spacing w:after="80"/>
        <w:ind w:left="259"/>
      </w:pPr>
      <w:r>
        <w:rPr>
          <w:rFonts w:ascii="Aptos" w:hAnsi="Aptos"/>
          <w:b w:val="0"/>
          <w:i w:val="0"/>
          <w:color w:val="1F2A24"/>
          <w:sz w:val="21"/>
        </w:rPr>
        <w:t>☐ Contexte, information décisive, action, détails dans cet ordre.</w:t>
      </w:r>
    </w:p>
    <w:p>
      <w:pPr>
        <w:widowControl/>
        <w:spacing w:after="80"/>
        <w:ind w:left="259"/>
      </w:pPr>
      <w:r>
        <w:rPr>
          <w:rFonts w:ascii="Aptos" w:hAnsi="Aptos"/>
          <w:b w:val="0"/>
          <w:i w:val="0"/>
          <w:color w:val="1F2A24"/>
          <w:sz w:val="21"/>
        </w:rPr>
        <w:t>☐ Montants en mono tabulaire, alignés à droite et non tronqués.</w:t>
      </w:r>
    </w:p>
    <w:p>
      <w:pPr>
        <w:widowControl/>
        <w:spacing w:after="80"/>
        <w:ind w:left="259"/>
      </w:pPr>
      <w:r>
        <w:rPr>
          <w:rFonts w:ascii="Aptos" w:hAnsi="Aptos"/>
          <w:b w:val="0"/>
          <w:i w:val="0"/>
          <w:color w:val="1F2A24"/>
          <w:sz w:val="21"/>
        </w:rPr>
        <w:t>☐ Solde fiduciaire visible sans interaction.</w:t>
      </w:r>
    </w:p>
    <w:p>
      <w:pPr>
        <w:widowControl/>
        <w:spacing w:after="80"/>
        <w:ind w:left="259"/>
      </w:pPr>
      <w:r>
        <w:rPr>
          <w:rFonts w:ascii="Aptos" w:hAnsi="Aptos"/>
          <w:b w:val="0"/>
          <w:i w:val="0"/>
          <w:color w:val="1F2A24"/>
          <w:sz w:val="21"/>
        </w:rPr>
        <w:t>☐ Chargement, vide et erreur réellement rendus.</w:t>
      </w:r>
    </w:p>
    <w:p>
      <w:pPr>
        <w:widowControl/>
        <w:spacing w:after="80"/>
        <w:ind w:left="259"/>
      </w:pPr>
      <w:r>
        <w:t>☐ Chaque contrôle possède ses états repos, survol, focus, pressé et désactivé.</w:t>
      </w:r>
    </w:p>
    <w:p>
      <w:pPr>
        <w:widowControl/>
        <w:spacing w:after="80"/>
        <w:ind w:left="259"/>
      </w:pPr>
      <w:r>
        <w:rPr>
          <w:rFonts w:ascii="Aptos" w:hAnsi="Aptos"/>
          <w:b w:val="0"/>
          <w:i w:val="0"/>
          <w:color w:val="1F2A24"/>
          <w:sz w:val="21"/>
        </w:rPr>
        <w:t>☐ Aucun écran blanc possible.</w:t>
      </w:r>
    </w:p>
    <w:p>
      <w:pPr>
        <w:widowControl/>
        <w:spacing w:after="80"/>
        <w:ind w:left="259"/>
      </w:pPr>
      <w:r>
        <w:rPr>
          <w:rFonts w:ascii="Aptos" w:hAnsi="Aptos"/>
          <w:b w:val="0"/>
          <w:i w:val="0"/>
          <w:color w:val="1F2A24"/>
          <w:sz w:val="21"/>
        </w:rPr>
        <w:t>☐ Focus visible sur tous les contrôles.</w:t>
      </w:r>
    </w:p>
    <w:p>
      <w:pPr>
        <w:widowControl/>
        <w:spacing w:after="80"/>
        <w:ind w:left="259"/>
      </w:pPr>
      <w:r>
        <w:rPr>
          <w:rFonts w:ascii="Aptos" w:hAnsi="Aptos"/>
          <w:b w:val="0"/>
          <w:i w:val="0"/>
          <w:color w:val="1F2A24"/>
          <w:sz w:val="21"/>
        </w:rPr>
        <w:t>☐ Boutons désactivés accompagnés d’une raison.</w:t>
      </w:r>
    </w:p>
    <w:p>
      <w:pPr>
        <w:widowControl/>
        <w:spacing w:after="80"/>
        <w:ind w:left="259"/>
      </w:pPr>
      <w:r>
        <w:rPr>
          <w:rFonts w:ascii="Aptos" w:hAnsi="Aptos"/>
          <w:b w:val="0"/>
          <w:i w:val="0"/>
          <w:color w:val="1F2A24"/>
          <w:sz w:val="21"/>
        </w:rPr>
        <w:t>☐ Contraste WCAG AA.</w:t>
      </w:r>
    </w:p>
    <w:p>
      <w:pPr>
        <w:widowControl/>
        <w:spacing w:after="80"/>
        <w:ind w:left="259"/>
      </w:pPr>
      <w:r>
        <w:t>☐ Aucun statut ne dépend uniquement de la couleur ; texte, forme ou icône le confirme.</w:t>
      </w:r>
    </w:p>
    <w:p>
      <w:pPr>
        <w:widowControl/>
        <w:spacing w:after="80"/>
        <w:ind w:left="259"/>
      </w:pPr>
      <w:r>
        <w:rPr>
          <w:rFonts w:ascii="Aptos" w:hAnsi="Aptos"/>
          <w:b w:val="0"/>
          <w:i w:val="0"/>
          <w:color w:val="1F2A24"/>
          <w:sz w:val="21"/>
        </w:rPr>
        <w:t>☐ Navigation au clavier complète.</w:t>
      </w:r>
    </w:p>
    <w:p>
      <w:pPr>
        <w:widowControl/>
        <w:spacing w:after="80"/>
        <w:ind w:left="259"/>
      </w:pPr>
      <w:r>
        <w:rPr>
          <w:rFonts w:ascii="Aptos" w:hAnsi="Aptos"/>
          <w:b w:val="0"/>
          <w:i w:val="0"/>
          <w:color w:val="1F2A24"/>
          <w:sz w:val="21"/>
        </w:rPr>
        <w:t>☐ Reflow à 320 px sans perte de fonction.</w:t>
      </w:r>
    </w:p>
    <w:p>
      <w:pPr>
        <w:widowControl/>
        <w:spacing w:after="80"/>
        <w:ind w:left="259"/>
      </w:pPr>
      <w:r>
        <w:rPr>
          <w:rFonts w:ascii="Aptos" w:hAnsi="Aptos"/>
          <w:b w:val="0"/>
          <w:i w:val="0"/>
          <w:color w:val="1F2A24"/>
          <w:sz w:val="21"/>
        </w:rPr>
        <w:t>☐ Aucune action essentielle dépendant du survol.</w:t>
      </w:r>
    </w:p>
    <w:p>
      <w:pPr>
        <w:widowControl/>
        <w:spacing w:after="80"/>
        <w:ind w:left="259"/>
      </w:pPr>
      <w:r>
        <w:rPr>
          <w:rFonts w:ascii="Aptos" w:hAnsi="Aptos"/>
          <w:b w:val="0"/>
          <w:i w:val="0"/>
          <w:color w:val="1F2A24"/>
          <w:sz w:val="21"/>
        </w:rPr>
        <w:t>☐ Aucun mouvement décoratif ou continu.</w:t>
      </w:r>
    </w:p>
    <w:p>
      <w:pPr>
        <w:widowControl/>
        <w:spacing w:after="80"/>
        <w:ind w:left="259"/>
      </w:pPr>
      <w:r>
        <w:t>☐ Toute action confirme l’attente, le résultat ou l’erreur près de son objet.</w:t>
      </w:r>
    </w:p>
    <w:p>
      <w:pPr>
        <w:widowControl/>
        <w:spacing w:after="80"/>
        <w:ind w:left="259"/>
      </w:pPr>
      <w:r>
        <w:rPr>
          <w:rFonts w:ascii="Aptos" w:hAnsi="Aptos"/>
          <w:b w:val="0"/>
          <w:i w:val="0"/>
          <w:color w:val="1F2A24"/>
          <w:sz w:val="21"/>
        </w:rPr>
        <w:t>☐ Chaque verre correspond à une superposition réelle ; contraste, repli opaque et budget de performance sont validés.</w:t>
      </w:r>
    </w:p>
    <w:p>
      <w:pPr>
        <w:widowControl/>
        <w:spacing w:after="80"/>
        <w:ind w:left="259"/>
      </w:pPr>
      <w:r>
        <w:rPr>
          <w:rFonts w:ascii="Aptos" w:hAnsi="Aptos"/>
          <w:b w:val="0"/>
          <w:i w:val="0"/>
          <w:color w:val="1F2A24"/>
          <w:sz w:val="21"/>
        </w:rPr>
        <w:t>☐ Microcopie française, concrète et métier.</w:t>
      </w:r>
    </w:p>
    <w:p>
      <w:pPr>
        <w:widowControl/>
        <w:spacing w:after="80"/>
        <w:ind w:left="259"/>
      </w:pPr>
      <w:r>
        <w:rPr>
          <w:rFonts w:ascii="Aptos" w:hAnsi="Aptos"/>
          <w:b w:val="0"/>
          <w:i w:val="0"/>
          <w:color w:val="1F2A24"/>
          <w:sz w:val="21"/>
        </w:rPr>
        <w:t>☐ Retour au geste sous 100 ms.</w:t>
      </w:r>
    </w:p>
    <w:p>
      <w:pPr>
        <w:widowControl/>
        <w:spacing w:after="80"/>
        <w:ind w:left="259"/>
      </w:pPr>
      <w:r>
        <w:rPr>
          <w:rFonts w:ascii="Aptos" w:hAnsi="Aptos"/>
          <w:b w:val="0"/>
          <w:i w:val="0"/>
          <w:color w:val="1F2A24"/>
          <w:sz w:val="21"/>
        </w:rPr>
        <w:t>☐ Aucun rechargement complet pour un changement local.</w:t>
      </w:r>
    </w:p>
    <w:p>
      <w:pPr>
        <w:widowControl/>
        <w:spacing w:after="80"/>
        <w:ind w:left="259"/>
      </w:pPr>
      <w:r>
        <w:rPr>
          <w:rFonts w:ascii="Aptos" w:hAnsi="Aptos"/>
          <w:b w:val="0"/>
          <w:i w:val="0"/>
          <w:color w:val="1F2A24"/>
          <w:sz w:val="21"/>
        </w:rPr>
        <w:t>☐ Composants présents dans la page de spécimens.</w:t>
      </w:r>
    </w:p>
    <w:p>
      <w:pPr>
        <w:widowControl/>
        <w:spacing w:after="80"/>
        <w:ind w:left="259"/>
      </w:pPr>
      <w:r>
        <w:rPr>
          <w:rFonts w:ascii="Aptos" w:hAnsi="Aptos"/>
          <w:b w:val="0"/>
          <w:i w:val="0"/>
          <w:color w:val="1F2A24"/>
          <w:sz w:val="21"/>
        </w:rPr>
        <w:t>☐ Checklist anti-interface générée passée.</w:t>
      </w:r>
    </w:p>
    <w:p>
      <w:pPr>
        <w:widowControl/>
        <w:spacing w:after="80"/>
        <w:ind w:left="259"/>
      </w:pPr>
      <w:r>
        <w:t>☐ La vitrine démontre chaque bénéfice par une preuve réaliste et une composition dictée par le contenu.</w:t>
      </w:r>
    </w:p>
    <w:p>
      <w:pPr>
        <w:pStyle w:val="Heading1"/>
        <w:keepNext/>
        <w:widowControl/>
      </w:pPr>
      <w:r>
        <w:t>Définition globale de terminé</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FF2ED"/>
          </w:tcPr>
          <w:p>
            <w:pPr>
              <w:spacing w:after="0"/>
            </w:pPr>
            <w:r>
              <w:rPr>
                <w:rFonts w:ascii="Aptos" w:hAnsi="Aptos"/>
                <w:b/>
                <w:i w:val="0"/>
                <w:color w:val="0B1F19"/>
                <w:sz w:val="20"/>
              </w:rPr>
              <w:t xml:space="preserve">TERMINÉ  </w:t>
            </w:r>
            <w:r>
              <w:rPr>
                <w:rFonts w:ascii="Aptos" w:hAnsi="Aptos"/>
                <w:b w:val="0"/>
                <w:i w:val="0"/>
                <w:color w:val="1F2A24"/>
                <w:sz w:val="20"/>
              </w:rPr>
              <w:t>Les parcours prioritaires sont utilisables sans interruption sur bureau, tablette, mobile et clavier ; ils respectent les budgets de performance ; aucune loi non négociable du SAFE Premium Design Standard n’est enfreinte.</w:t>
            </w:r>
          </w:p>
        </w:tc>
      </w:tr>
    </w:tbl>
    <w:p>
      <w:pPr>
        <w:widowControl/>
        <w:spacing w:after="20"/>
      </w:pPr>
    </w:p>
    <w:p>
      <w:pPr>
        <w:pStyle w:val="Heading1"/>
        <w:keepNext/>
        <w:widowControl/>
        <w:spacing w:before="240" w:after="120"/>
      </w:pPr>
      <w:r>
        <w:t>Sources consolidées</w:t>
      </w:r>
    </w:p>
    <w:p>
      <w:pPr>
        <w:pStyle w:val="ListBullet"/>
        <w:widowControl/>
        <w:spacing w:before="0" w:after="0" w:line="240" w:lineRule="auto"/>
      </w:pPr>
      <w:r>
        <w:rPr>
          <w:rFonts w:ascii="Aptos" w:hAnsi="Aptos"/>
          <w:b w:val="0"/>
          <w:i w:val="0"/>
          <w:color w:val="1F2A24"/>
          <w:sz w:val="18"/>
        </w:rPr>
        <w:t>Référentiels SAFE : Premium Design Standard, DESIGN_HUMAIN.md et audit de localhost:3001.</w:t>
      </w:r>
    </w:p>
    <w:p>
      <w:pPr>
        <w:pStyle w:val="ListBullet"/>
        <w:widowControl/>
        <w:spacing w:before="0" w:after="0" w:line="240" w:lineRule="auto"/>
      </w:pPr>
      <w:r>
        <w:rPr>
          <w:rFonts w:ascii="Aptos" w:hAnsi="Aptos"/>
          <w:b w:val="0"/>
          <w:i w:val="0"/>
          <w:color w:val="1F2A24"/>
          <w:sz w:val="18"/>
        </w:rPr>
        <w:t>Sam Crawford : « 2026 Web Design Trends » et « Every Web Design Concept Explained ».</w:t>
      </w:r>
    </w:p>
    <w:p>
      <w:pPr>
        <w:pStyle w:val="ListBullet"/>
        <w:widowControl/>
        <w:spacing w:before="0" w:after="0" w:line="240" w:lineRule="auto"/>
      </w:pPr>
      <w:r>
        <w:rPr>
          <w:rFonts w:ascii="Aptos" w:hAnsi="Aptos"/>
          <w:b w:val="0"/>
          <w:i w:val="0"/>
          <w:color w:val="1F2A24"/>
          <w:sz w:val="18"/>
        </w:rPr>
        <w:t>Kole Jain : « Every UI/UX Concept Explained » et « The 4 Levels of Landing Page UI/UX Design ».</w:t>
      </w:r>
    </w:p>
    <w:p>
      <w:r>
        <w:br w:type="page"/>
      </w:r>
    </w:p>
    <w:p>
      <w:pPr>
        <w:pStyle w:val="Heading1"/>
      </w:pPr>
      <w:r>
        <w:t>Lot 8 — Cohérence visuelle et apaisement de l'interface</w:t>
      </w:r>
    </w:p>
    <w:p>
      <w:r>
        <w:t>Six observations du CEO sur l'interface réelle, le 6 août 2026, captures à l'appui. Aucune règle métier, aucun calcul comptable et aucune obligation réglementaire n'ont été modifiés : seule change la manière dont l'information se présente. Prompt d'exécution : docs/design/PROMPT_LOT8_COHERENCE_VISUELLE.md.</w:t>
      </w:r>
    </w:p>
    <w:p>
      <w:pPr>
        <w:pStyle w:val="Heading2"/>
      </w:pPr>
      <w:r>
        <w:t>Ce qui a été corrigé</w:t>
      </w:r>
    </w:p>
    <w:tbl>
      <w:tblPr>
        <w:tblStyle w:val="TableGrid"/>
        <w:tblW w:type="auto" w:w="0"/>
        <w:tblLook w:firstColumn="1" w:firstRow="1" w:lastColumn="0" w:lastRow="0" w:noHBand="0" w:noVBand="1" w:val="04A0"/>
      </w:tblPr>
      <w:tblGrid>
        <w:gridCol w:w="3293"/>
        <w:gridCol w:w="3293"/>
        <w:gridCol w:w="3293"/>
      </w:tblGrid>
      <w:tr>
        <w:tc>
          <w:tcPr>
            <w:tcW w:type="dxa" w:w="3293"/>
          </w:tcPr>
          <w:p>
            <w:r>
              <w:rPr>
                <w:b/>
              </w:rPr>
              <w:t>Constat</w:t>
            </w:r>
          </w:p>
        </w:tc>
        <w:tc>
          <w:tcPr>
            <w:tcW w:type="dxa" w:w="3293"/>
          </w:tcPr>
          <w:p>
            <w:r>
              <w:rPr>
                <w:b/>
              </w:rPr>
              <w:t>Cause</w:t>
            </w:r>
          </w:p>
        </w:tc>
        <w:tc>
          <w:tcPr>
            <w:tcW w:type="dxa" w:w="3293"/>
          </w:tcPr>
          <w:p>
            <w:r>
              <w:rPr>
                <w:b/>
              </w:rPr>
              <w:t>Correction</w:t>
            </w:r>
          </w:p>
        </w:tc>
      </w:tr>
      <w:tr>
        <w:tc>
          <w:tcPr>
            <w:tcW w:type="dxa" w:w="3293"/>
          </w:tcPr>
          <w:p>
            <w:r>
              <w:t>Les boutons empilaient leur icône au-dessus de leur libellé.</w:t>
            </w:r>
          </w:p>
        </w:tc>
        <w:tc>
          <w:tcPr>
            <w:tcW w:type="dxa" w:w="3293"/>
          </w:tcPr>
          <w:p>
            <w:r>
              <w:t>Le composant enveloppait tous ses enfants dans un span unique. La normalisation Tailwind rend les svg en bloc : icône et libellé tombaient sur deux lignes et le gap du bouton ne s'appliquait plus. Régression introduite au lot 4, 34 boutons touchés.</w:t>
            </w:r>
          </w:p>
        </w:tc>
        <w:tc>
          <w:tcPr>
            <w:tcW w:type="dxa" w:w="3293"/>
          </w:tcPr>
          <w:p>
            <w:r>
              <w:t>Seul le libellé de chargement reste enveloppé. Un test de rendu interdit le retour de l'enveloppe commune.</w:t>
            </w:r>
          </w:p>
        </w:tc>
      </w:tr>
      <w:tr>
        <w:tc>
          <w:tcPr>
            <w:tcW w:type="dxa" w:w="3293"/>
          </w:tcPr>
          <w:p>
            <w:r>
              <w:t>Les chiffres changeaient de graisse, de taille et d'alignement d'une page à l'autre.</w:t>
            </w:r>
          </w:p>
        </w:tc>
        <w:tc>
          <w:tcPr>
            <w:tcW w:type="dxa" w:w="3293"/>
          </w:tcPr>
          <w:p>
            <w:r>
              <w:t>Chaque écran composait ses propres montants.</w:t>
            </w:r>
          </w:p>
        </w:tc>
        <w:tc>
          <w:tcPr>
            <w:tcW w:type="dxa" w:w="3293"/>
          </w:tcPr>
          <w:p>
            <w:r>
              <w:t>Une primitive unique, components/ui/Figure.tsx : mono tabulaire, montants à droite, trois tailles seulement. Appliquée à la facturation, aux temps, au rapprochement et à la conformité.</w:t>
            </w:r>
          </w:p>
        </w:tc>
      </w:tr>
      <w:tr>
        <w:tc>
          <w:tcPr>
            <w:tcW w:type="dxa" w:w="3293"/>
          </w:tcPr>
          <w:p>
            <w:r>
              <w:t>Une bannière rouge pleine largeur dramatisait chaque écran en permanence.</w:t>
            </w:r>
          </w:p>
        </w:tc>
        <w:tc>
          <w:tcPr>
            <w:tcW w:type="dxa" w:w="3293"/>
          </w:tcPr>
          <w:p>
            <w:r>
              <w:t>Le bandeau restait affiché tant qu'un rapprochement était en retard, sans se refermer, et reléguait au second plan l'objectif de la page en cours.</w:t>
            </w:r>
          </w:p>
        </w:tc>
        <w:tc>
          <w:tcPr>
            <w:tcW w:type="dxa" w:w="3293"/>
          </w:tcPr>
          <w:p>
            <w:r>
              <w:t>Un centre d'alertes discret dans l'en-tête porte le nombre d'obligations ouvertes et les liste au calme : objet, gravité, période, action. L'obligation ne disparaît pas, elle cesse d'occuper toute la largeur.</w:t>
            </w:r>
          </w:p>
        </w:tc>
      </w:tr>
      <w:tr>
        <w:tc>
          <w:tcPr>
            <w:tcW w:type="dxa" w:w="3293"/>
          </w:tcPr>
          <w:p>
            <w:r>
              <w:t>Deux pastilles flottantes se recouvraient dans le coin inférieur droit.</w:t>
            </w:r>
          </w:p>
        </w:tc>
        <w:tc>
          <w:tcPr>
            <w:tcW w:type="dxa" w:w="3293"/>
          </w:tcPr>
          <w:p>
            <w:r>
              <w:t>Le mode focus et le widget d'aide partageaient le même ancrage.</w:t>
            </w:r>
          </w:p>
        </w:tc>
        <w:tc>
          <w:tcPr>
            <w:tcW w:type="dxa" w:w="3293"/>
          </w:tcPr>
          <w:p>
            <w:r>
              <w:t>L'aide, qui est globale, garde le coin. Le mode focus, propre à une page, se range au-dessus d'elle.</w:t>
            </w:r>
          </w:p>
        </w:tc>
      </w:tr>
      <w:tr>
        <w:tc>
          <w:tcPr>
            <w:tcW w:type="dxa" w:w="3293"/>
          </w:tcPr>
          <w:p>
            <w:r>
              <w:t>La matière vitrée manquait sur les boutons.</w:t>
            </w:r>
          </w:p>
        </w:tc>
        <w:tc>
          <w:tcPr>
            <w:tcW w:type="dxa" w:w="3293"/>
          </w:tcPr>
          <w:p>
            <w:r>
              <w:t>Aucune variante ne portait le verre.</w:t>
            </w:r>
          </w:p>
        </w:tc>
        <w:tc>
          <w:tcPr>
            <w:tcW w:type="dxa" w:w="3293"/>
          </w:tcPr>
          <w:p>
            <w:r>
              <w:t>Une variante glass consommant le niveau subtle, réservée aux boutons posés sur une surface qui flotte. L'action qui engage reste pleine et mate : une décision ne se lit pas à travers une vitre.</w:t>
            </w:r>
          </w:p>
        </w:tc>
      </w:tr>
      <w:tr>
        <w:tc>
          <w:tcPr>
            <w:tcW w:type="dxa" w:w="3293"/>
          </w:tcPr>
          <w:p>
            <w:r>
              <w:t>La page conformité paraissait chargée.</w:t>
            </w:r>
          </w:p>
        </w:tc>
        <w:tc>
          <w:tcPr>
            <w:tcW w:type="dxa" w:w="3293"/>
          </w:tcPr>
          <w:p>
            <w:r>
              <w:t>Quatorze tuiles identiques présentaient tous les domaines au même poids, y compris ceux déjà en règle.</w:t>
            </w:r>
          </w:p>
        </w:tc>
        <w:tc>
          <w:tcPr>
            <w:tcW w:type="dxa" w:w="3293"/>
          </w:tcPr>
          <w:p>
            <w:r>
              <w:t>Une seule question en tête, puis la liste de ce qui demande une action. Le conforme est replié dans un dépliant, le non applicable réduit à une mention.</w:t>
            </w:r>
          </w:p>
        </w:tc>
      </w:tr>
    </w:tbl>
    <w:p>
      <w:pPr>
        <w:pStyle w:val="Heading2"/>
      </w:pPr>
      <w:r>
        <w:t>Décisions de doctrine posées par ce lot</w:t>
      </w:r>
    </w:p>
    <w:p>
      <w:pPr>
        <w:pStyle w:val="ListBullet"/>
      </w:pPr>
      <w:r>
        <w:t>Le produit ne vit pas en état d'alerte permanent. Une obligation réglementaire reste visible et atteignable, mais elle ne s'affiche plus en rouge sur toute la largeur de chaque écran. Un outil qui crie en continu finit par n'alerter plus de rien.</w:t>
      </w:r>
    </w:p>
    <w:p>
      <w:pPr>
        <w:pStyle w:val="ListBullet"/>
      </w:pPr>
      <w:r>
        <w:t>Tout chiffre affiché comme donnée passe par une primitive unique. La comparaison verticale de deux montants est une fonction de vérification, pas une préférence graphique.</w:t>
      </w:r>
    </w:p>
    <w:p>
      <w:pPr>
        <w:pStyle w:val="ListBullet"/>
      </w:pPr>
      <w:r>
        <w:t>Le verre reste soumis au système à trois plans. La variante de bouton vitrée ne s'emploie que sur une surface réellement superposée, jamais sur l'action principale d'un écran de travail.</w:t>
      </w:r>
    </w:p>
    <w:p>
      <w:pPr>
        <w:pStyle w:val="ListBullet"/>
      </w:pPr>
      <w:r>
        <w:t>Une page de conformité répond d'abord à « qu'est-ce que je dois faire », jamais à « voici tout ce que je sais ».</w:t>
      </w:r>
    </w:p>
    <w:p>
      <w:pPr>
        <w:pStyle w:val="Heading2"/>
      </w:pPr>
      <w:r>
        <w:t>Validation</w:t>
      </w:r>
    </w:p>
    <w:p>
      <w:pPr>
        <w:pStyle w:val="ListBullet"/>
      </w:pPr>
      <w:r>
        <w:t>TypeScript sans erreur, 14 tests, parité des clés de traduction, lint propre.</w:t>
      </w:r>
    </w:p>
    <w:p>
      <w:pPr>
        <w:pStyle w:val="ListBullet"/>
      </w:pPr>
      <w:r>
        <w:t>Build de production réussi.</w:t>
      </w:r>
    </w:p>
    <w:p>
      <w:pPr>
        <w:pStyle w:val="ListBullet"/>
      </w:pPr>
      <w:r>
        <w:t>Audit design interne : 1 332 écarts avant le lot, 1 327 après.</w:t>
      </w:r>
    </w:p>
    <w:p>
      <w:pPr>
        <w:pStyle w:val="ListBullet"/>
      </w:pPr>
      <w:r>
        <w:t>Centre d'alertes et page conformité vérifiés au rendu réel, par sonde publique temporaire, faute de session authentifiée. Panneau au niveau elevated, réglementation localisée, action atteignable, aucun débordement à 320 px après ancrage au viewport sur petit écran.</w:t>
      </w:r>
    </w:p>
    <w:p>
      <w:pPr>
        <w:pStyle w:val="Heading2"/>
      </w:pPr>
      <w:r>
        <w:t>Ce qui reste ouvert</w:t>
      </w:r>
    </w:p>
    <w:p>
      <w:pPr>
        <w:pStyle w:val="ListBullet"/>
      </w:pPr>
      <w:r>
        <w:t>La nouvelle vue de conformité dépend du drapeau COMPLIANCE_DASHBOARD_V2. Il est posé en local ; sans lui, l'ancienne page s'affiche.</w:t>
      </w:r>
    </w:p>
    <w:p>
      <w:pPr>
        <w:pStyle w:val="ListBullet"/>
      </w:pPr>
      <w:r>
        <w:t>Les polices pèsent autant que tout le code d'une page. C'est une décision de marque, pas une correction technique.</w:t>
      </w:r>
    </w:p>
    <w:p>
      <w:pPr>
        <w:pStyle w:val="ListBullet"/>
      </w:pPr>
      <w:r>
        <w:t>La page de connexion affiche encore un message technique destiné au développeur.</w:t>
      </w:r>
    </w:p>
    <w:p>
      <w:pPr>
        <w:pStyle w:val="ListBullet"/>
      </w:pPr>
      <w:r>
        <w:t>Aucune passe visuelle n'a pu être menée sur les écrans authentifiés.</w:t>
      </w:r>
    </w:p>
    <w:sectPr w:rsidR="00FC693F" w:rsidRPr="0006063C" w:rsidSect="00034616">
      <w:headerReference w:type="default" r:id="rId9"/>
      <w:footerReference w:type="default" r:id="rId10"/>
      <w:pgSz w:w="12240" w:h="15840"/>
      <w:pgMar w:top="1181" w:right="1181" w:bottom="1123" w:left="1181"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8A968F"/>
        <w:sz w:val="17"/>
      </w:rPr>
      <w:t>Document consolidé  |  5 août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5A665F"/>
        <w:sz w:val="17"/>
      </w:rPr>
      <w:t>SAFE  |  Plan directeur UI/UX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F2A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B1F19"/>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0B1F19"/>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5A66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Aptos" w:hAnsi="Aptos"/>
      <w:color w:val="1F2A24"/>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7" w:hanging="274"/>
      <w:contextualSpacing/>
    </w:pPr>
    <w:rPr>
      <w:rFonts w:ascii="Aptos" w:hAnsi="Aptos"/>
      <w:color w:val="1F2A24"/>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93" w:lineRule="auto"/>
    </w:pPr>
    <w:rPr>
      <w:rFonts w:ascii="Aptos" w:hAnsi="Aptos"/>
      <w:color w:val="5A665F"/>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1.4</cp:version>
</cp:coreProperties>
</file>