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jc w:val="center"/>
      </w:pPr>
      <w:r>
        <w:rPr>
          <w:rFonts w:ascii="Arial" w:cs="Arial" w:eastAsia="Arial" w:hAnsi="Arial"/>
          <w:b/>
          <w:bCs/>
          <w:color w:val="1E3A5F"/>
          <w:sz w:val="72"/>
          <w:szCs w:val="72"/>
        </w:rPr>
        <w:t xml:space="preserve">SAFE</w:t>
      </w:r>
    </w:p>
    <w:p>
      <w:pPr>
        <w:spacing w:after="60"/>
        <w:jc w:val="center"/>
      </w:pPr>
      <w:r>
        <w:rPr>
          <w:rFonts w:ascii="Arial" w:cs="Arial" w:eastAsia="Arial" w:hAnsi="Arial"/>
          <w:color w:val="444444"/>
          <w:sz w:val="28"/>
          <w:szCs w:val="28"/>
        </w:rPr>
        <w:t xml:space="preserve">Système Automatisé de Facturation et d'Exploitation</w:t>
      </w:r>
    </w:p>
    <w:p>
      <w:pPr>
        <w:spacing w:after="60"/>
        <w:jc w:val="center"/>
      </w:pPr>
      <w:r>
        <w:rPr>
          <w:rFonts w:ascii="Arial" w:cs="Arial" w:eastAsia="Arial" w:hAnsi="Arial"/>
          <w:b/>
          <w:bCs/>
          <w:color w:val="1E3A5F"/>
          <w:sz w:val="24"/>
          <w:szCs w:val="24"/>
        </w:rPr>
        <w:t xml:space="preserve">DOCUMENT DE VISION PRODUIT</w:t>
      </w:r>
    </w:p>
    <w:p>
      <w:pPr>
        <w:spacing w:after="60"/>
        <w:jc w:val="center"/>
      </w:pPr>
      <w:r>
        <w:rPr>
          <w:rFonts w:ascii="Arial" w:cs="Arial" w:eastAsia="Arial" w:hAnsi="Arial"/>
          <w:color w:val="888888"/>
          <w:sz w:val="22"/>
          <w:szCs w:val="22"/>
        </w:rPr>
        <w:t xml:space="preserve">Version 3.0 — Mars 2026</w:t>
      </w:r>
    </w:p>
    <w:p>
      <w:pPr>
        <w:spacing w:after="60"/>
        <w:jc w:val="center"/>
      </w:pPr>
      <w:r>
        <w:rPr>
          <w:rFonts w:ascii="Arial" w:cs="Arial" w:eastAsia="Arial" w:hAnsi="Arial"/>
          <w:color w:val="AAAAAA"/>
          <w:sz w:val="20"/>
          <w:szCs w:val="20"/>
        </w:rPr>
        <w:t xml:space="preserve">Révision CTO avec conformité Barreau et entraînement IA réglementaire</w:t>
      </w:r>
    </w:p>
    <w:p>
      <w:pPr>
        <w:spacing w:after="200"/>
        <w:jc w:val="center"/>
      </w:pPr>
      <w:r>
        <w:rPr>
          <w:rFonts w:ascii="Arial" w:cs="Arial" w:eastAsia="Arial" w:hAnsi="Arial"/>
          <w:i/>
          <w:iCs/>
          <w:color w:val="AAAAAA"/>
          <w:sz w:val="20"/>
          <w:szCs w:val="20"/>
        </w:rPr>
        <w:t xml:space="preserve">Plateforme SaaS + Agents IA pour cabinets juridiques en droit de la famille</w:t>
      </w:r>
    </w:p>
    <w:p>
      <w:pPr>
        <w:pBdr>
          <w:bottom w:val="single" w:color="1E3A5F" w:sz="6" w:space="1"/>
        </w:pBdr>
        <w:spacing w:after="300"/>
      </w:pPr>
    </w:p>
    <w:p>
      <w:pPr>
        <w:pStyle w:val="Heading1"/>
      </w:pPr>
      <w:r>
        <w:t xml:space="preserve">1. Synthèse exécutive</w:t>
      </w:r>
    </w:p>
    <w:p>
      <w:pPr>
        <w:spacing w:after="40"/>
      </w:pPr>
    </w:p>
    <w:p>
      <w:pPr>
        <w:spacing w:after="120"/>
      </w:pPr>
      <w:r>
        <w:rPr>
          <w:rFonts w:ascii="Arial" w:cs="Arial" w:eastAsia="Arial" w:hAnsi="Arial"/>
          <w:sz w:val="22"/>
          <w:szCs w:val="22"/>
        </w:rPr>
        <w:t xml:space="preserve">SAFE (Système Automatisé de Facturation et d'Exploitation) est une plateforme SaaS conçue pour les cabinets d'avocats en droit de la famille au Québec. Elle combine un système de gestion intégré avec deux agents IA premium entraînés selon les règles du Barreau du Québec : un Agent Finance (bookkeeping + facturation + audit de conformité) et un Agent Assistant Juridique (organisation documentaire + suivi). L'interface conversationnelle permet aux avocats de parler naturellement à leurs agents comme à des employés virtuels.</w:t>
      </w:r>
    </w:p>
    <w:p>
      <w:pPr>
        <w:spacing w:after="60"/>
      </w:pPr>
    </w:p>
    <w:p>
      <w:pPr>
        <w:spacing w:after="100"/>
      </w:pPr>
      <w:r>
        <w:rPr>
          <w:rFonts w:ascii="Arial" w:cs="Arial" w:eastAsia="Arial" w:hAnsi="Arial"/>
          <w:b/>
          <w:bCs/>
          <w:sz w:val="22"/>
          <w:szCs w:val="22"/>
        </w:rPr>
        <w:t xml:space="preserve">Marché cible : </w:t>
      </w:r>
      <w:r>
        <w:rPr>
          <w:rFonts w:ascii="Arial" w:cs="Arial" w:eastAsia="Arial" w:hAnsi="Arial"/>
          <w:sz w:val="22"/>
          <w:szCs w:val="22"/>
        </w:rPr>
        <w:t xml:space="preserve">Cabinets solo et petits cabinets (1-5 avocats) en droit de la famille au Québec</w:t>
      </w:r>
    </w:p>
    <w:p>
      <w:pPr>
        <w:spacing w:after="100"/>
      </w:pPr>
      <w:r>
        <w:rPr>
          <w:rFonts w:ascii="Arial" w:cs="Arial" w:eastAsia="Arial" w:hAnsi="Arial"/>
          <w:b/>
          <w:bCs/>
          <w:sz w:val="22"/>
          <w:szCs w:val="22"/>
        </w:rPr>
        <w:t xml:space="preserve">Problème : </w:t>
      </w:r>
      <w:r>
        <w:rPr>
          <w:rFonts w:ascii="Arial" w:cs="Arial" w:eastAsia="Arial" w:hAnsi="Arial"/>
          <w:sz w:val="22"/>
          <w:szCs w:val="22"/>
        </w:rPr>
        <w:t xml:space="preserve">Cycle comptable fragmenté, logiciels concurrents trop chers et complexes, procédures manuelles à 10+ étapes pour une facture</w:t>
      </w:r>
    </w:p>
    <w:p>
      <w:pPr>
        <w:spacing w:after="100"/>
      </w:pPr>
      <w:r>
        <w:rPr>
          <w:rFonts w:ascii="Arial" w:cs="Arial" w:eastAsia="Arial" w:hAnsi="Arial"/>
          <w:b/>
          <w:bCs/>
          <w:sz w:val="22"/>
          <w:szCs w:val="22"/>
        </w:rPr>
        <w:t xml:space="preserve">Solution : </w:t>
      </w:r>
      <w:r>
        <w:rPr>
          <w:rFonts w:ascii="Arial" w:cs="Arial" w:eastAsia="Arial" w:hAnsi="Arial"/>
          <w:sz w:val="22"/>
          <w:szCs w:val="22"/>
        </w:rPr>
        <w:t xml:space="preserve">Plateforme tout-en-un avec 2 agents IA premium, conformes au Barreau, et onboarding personnalisable par cabinet</w:t>
      </w:r>
    </w:p>
    <w:p>
      <w:pPr>
        <w:spacing w:after="100"/>
      </w:pPr>
      <w:r>
        <w:rPr>
          <w:rFonts w:ascii="Arial" w:cs="Arial" w:eastAsia="Arial" w:hAnsi="Arial"/>
          <w:b/>
          <w:bCs/>
          <w:sz w:val="22"/>
          <w:szCs w:val="22"/>
        </w:rPr>
        <w:t xml:space="preserve">Avantage compétitif : </w:t>
      </w:r>
      <w:r>
        <w:rPr>
          <w:rFonts w:ascii="Arial" w:cs="Arial" w:eastAsia="Arial" w:hAnsi="Arial"/>
          <w:sz w:val="22"/>
          <w:szCs w:val="22"/>
        </w:rPr>
        <w:t xml:space="preserve">Conçu par un bookkeeper terrain + agents IA conversationnels entraînés sur la réglementation du Barreau + conforme Loi 25</w:t>
      </w:r>
    </w:p>
    <w:p>
      <w:pPr>
        <w:spacing w:after="100"/>
      </w:pPr>
      <w:r>
        <w:rPr>
          <w:rFonts w:ascii="Arial" w:cs="Arial" w:eastAsia="Arial" w:hAnsi="Arial"/>
          <w:b/>
          <w:bCs/>
          <w:sz w:val="22"/>
          <w:szCs w:val="22"/>
        </w:rPr>
        <w:t xml:space="preserve">Budget : </w:t>
      </w:r>
      <w:r>
        <w:rPr>
          <w:rFonts w:ascii="Arial" w:cs="Arial" w:eastAsia="Arial" w:hAnsi="Arial"/>
          <w:sz w:val="22"/>
          <w:szCs w:val="22"/>
        </w:rPr>
        <w:t xml:space="preserve">Bootstrap &lt; 5 000 $, développement par équipe d'agents IA (Claude Code + Antigravity)</w:t>
      </w:r>
    </w:p>
    <w:p>
      <w:pPr>
        <w:spacing w:after="100"/>
      </w:pPr>
      <w:r>
        <w:rPr>
          <w:rFonts w:ascii="Arial" w:cs="Arial" w:eastAsia="Arial" w:hAnsi="Arial"/>
          <w:b/>
          <w:bCs/>
          <w:sz w:val="22"/>
          <w:szCs w:val="22"/>
        </w:rPr>
        <w:t xml:space="preserve">Application existante : </w:t>
      </w:r>
      <w:r>
        <w:rPr>
          <w:rFonts w:ascii="Arial" w:cs="Arial" w:eastAsia="Arial" w:hAnsi="Arial"/>
          <w:sz w:val="22"/>
          <w:szCs w:val="22"/>
        </w:rPr>
        <w:t xml:space="preserve">V1 déjà en ligne sur safe-keassahas-projects.vercel.app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E3A5F" w:sz="12"/>
              <w:bottom w:val="none" w:sz="0"/>
              <w:right w:val="none" w:sz="0"/>
            </w:tcBorders>
            <w:shd w:fill="FAFAFA" w:val="clear"/>
            <w:tcMar>
              <w:top w:type="dxa" w:w="120"/>
              <w:left w:type="dxa" w:w="200"/>
              <w:bottom w:type="dxa" w:w="120"/>
              <w:right w:type="dxa" w:w="160"/>
            </w:tcMar>
          </w:tcPr>
          <w:p>
            <w:pPr>
              <w:spacing w:after="40"/>
            </w:pPr>
            <w:r>
              <w:rPr>
                <w:rFonts w:ascii="Arial" w:cs="Arial" w:eastAsia="Arial" w:hAnsi="Arial"/>
                <w:b/>
                <w:bCs/>
                <w:color w:val="1E3A5F"/>
                <w:sz w:val="20"/>
                <w:szCs w:val="20"/>
              </w:rPr>
              <w:t xml:space="preserve">Décision CTO : Différenciateur clé</w:t>
            </w:r>
          </w:p>
          <w:p>
            <w:pPr>
              <w:spacing w:after="30"/>
            </w:pPr>
            <w:r>
              <w:rPr>
                <w:rFonts w:ascii="Arial" w:cs="Arial" w:eastAsia="Arial" w:hAnsi="Arial"/>
                <w:color w:val="444444"/>
                <w:sz w:val="20"/>
                <w:szCs w:val="20"/>
              </w:rPr>
              <w:t xml:space="preserve">Les agents IA de SAFE ne sont pas des chatbots génériques. Ils sont entraînés spécifiquement sur les règles du Barreau du Québec : Règlement B-1 r.5 (comptabilité et fidéicommis), Code de déontologie des avocats (RLRQ c B-1, r 3.1), Loi 25 (protection des renseignements personnels), et le Guide pratique du Barreau pour l'utilisation responsable de l'IA générative (octobre 2025). C'est ce qui rend SAFE inattaquable face à la concurrence.</w:t>
            </w:r>
          </w:p>
        </w:tc>
      </w:tr>
    </w:tbl>
    <w:p>
      <w:r>
        <w:br w:type="page"/>
      </w:r>
    </w:p>
    <w:p>
      <w:pPr>
        <w:pStyle w:val="Heading1"/>
      </w:pPr>
      <w:r>
        <w:t xml:space="preserve">2. Architecture technique (Décisions CTO)</w:t>
      </w:r>
    </w:p>
    <w:p>
      <w:pPr>
        <w:spacing w:after="40"/>
      </w:pPr>
    </w:p>
    <w:p>
      <w:pPr>
        <w:pStyle w:val="Heading2"/>
      </w:pPr>
      <w:r>
        <w:t xml:space="preserve">2.1 Stack validé</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Couche</w:t>
            </w:r>
          </w:p>
        </w:tc>
        <w:tc>
          <w:tcPr>
            <w:tcW w:type="dxa" w:w="24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Technologie</w:t>
            </w:r>
          </w:p>
        </w:tc>
        <w:tc>
          <w:tcPr>
            <w:tcW w:type="dxa" w:w="516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Frontend</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Next.js 14+ (App Router)</w:t>
            </w:r>
          </w:p>
        </w:tc>
        <w:tc>
          <w:tcPr>
            <w:tcW w:type="dxa" w:w="5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Server Components, performance, SEO landing page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Styling</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Tailwind CSS + legal-saas-taste skill</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Design premium adapté au juridique, anti AI-slop</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Backend / DB</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Supabase (PostgreSQL)</w:t>
            </w:r>
          </w:p>
        </w:tc>
        <w:tc>
          <w:tcPr>
            <w:tcW w:type="dxa" w:w="5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RLS natif pour multi-tenancy, auth intégrée, temps réel</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Auth</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Supabase Auth + RBAC custom</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5 rôles (Admin, Avocat, Adjoint, Bookkeeper, Client)</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Agents IA</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Claude API (function calling)</w:t>
            </w:r>
          </w:p>
        </w:tc>
        <w:tc>
          <w:tcPr>
            <w:tcW w:type="dxa" w:w="5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Sonnet pour le volume, Opus pour la qualité, Haiku pour la catégorisation</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Paiements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Stripe</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Checkout, subscriptions, webhooks, portail client</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Hébergement</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Vercel (région Toronto)</w:t>
            </w:r>
          </w:p>
        </w:tc>
        <w:tc>
          <w:tcPr>
            <w:tcW w:type="dxa" w:w="5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Canada obligatoire pour Loi 25, edge functions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Stockage fichiers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Supabase Storage (chiffré)</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Documents juridiques, pièces, PDF factures</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Emails</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Resend</w:t>
            </w:r>
          </w:p>
        </w:tc>
        <w:tc>
          <w:tcPr>
            <w:tcW w:type="dxa" w:w="5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Factures, notifications, relances automatisées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Monitoring</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Sentry + PostHog</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Erreurs, analytics, funnels d'usage</w:t>
            </w:r>
          </w:p>
        </w:tc>
      </w:tr>
    </w:tbl>
    <w:p>
      <w:pPr>
        <w:spacing w:after="80"/>
      </w:pPr>
    </w:p>
    <w:p>
      <w:pPr>
        <w:pStyle w:val="Heading2"/>
      </w:pPr>
      <w:r>
        <w:t xml:space="preserve">2.2 Principes architecturaux</w:t>
      </w:r>
    </w:p>
    <w:p>
      <w:pPr>
        <w:spacing w:after="20"/>
      </w:pP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Monolithe modulaire. Pas de microservices. Tout le code dans un seul repo Next.js.</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Multi-tenancy par RLS Supabase. Chaque requête est filtrée par cabinet_id au niveau PostgreSQL. Zéro risque de fuite inter-cabinet.</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API-first. Chaque feature expose un endpoint documenté avant d'être intégrée dans l'UI.</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Zéro accès IA aux données brutes. Les agents IA reçoivent uniquement les données nécessaires via function calling, jamais un accès direct à la base.</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Chiffrement AES-256 pour les données sensibles (NAS, informations financières) au repos.</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Audit logs append-only sur chaque opération de fidéicommis, avec rétention minimum 7 ans (art. 50, B-1 r.5).</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Tests E2E obligatoires sur les workflows critiques (fidéicommis, facturation, auth) avant chaque déploiement.</w:t>
      </w:r>
    </w:p>
    <w:p>
      <w:r>
        <w:br w:type="page"/>
      </w:r>
    </w:p>
    <w:p>
      <w:pPr>
        <w:pStyle w:val="Heading1"/>
      </w:pPr>
      <w:r>
        <w:t xml:space="preserve">3. Conformité réglementaire</w:t>
      </w:r>
    </w:p>
    <w:p>
      <w:pPr>
        <w:spacing w:after="40"/>
      </w:pPr>
    </w:p>
    <w:p>
      <w:pPr>
        <w:spacing w:after="120"/>
      </w:pPr>
      <w:r>
        <w:rPr>
          <w:rFonts w:ascii="Arial" w:cs="Arial" w:eastAsia="Arial" w:hAnsi="Arial"/>
          <w:sz w:val="22"/>
          <w:szCs w:val="22"/>
        </w:rPr>
        <w:t xml:space="preserve">Chaque décision technique et fonctionnelle de SAFE est guidée par trois cadres réglementaires. Les agents IA sont entraînés pour connaître, appliquer et surveiller chacun d'entre eux.</w:t>
      </w:r>
    </w:p>
    <w:p>
      <w:pPr>
        <w:spacing w:after="40"/>
      </w:pPr>
    </w:p>
    <w:p>
      <w:pPr>
        <w:pStyle w:val="Heading2"/>
      </w:pPr>
      <w:r>
        <w:t xml:space="preserve">3.1 Règlement B-1, r. 5 du Barreau du Québec</w:t>
      </w:r>
    </w:p>
    <w:p>
      <w:pPr>
        <w:spacing w:after="20"/>
      </w:pPr>
    </w:p>
    <w:p>
      <w:pPr>
        <w:spacing w:after="120"/>
      </w:pPr>
      <w:r>
        <w:rPr>
          <w:rFonts w:ascii="Arial" w:cs="Arial" w:eastAsia="Arial" w:hAnsi="Arial"/>
          <w:sz w:val="22"/>
          <w:szCs w:val="22"/>
        </w:rPr>
        <w:t xml:space="preserve">Le Règlement sur la comptabilité et les normes d'exercice professionnel des avocats (RLRQ c. B-1, r. 5) est le cadre principal. SAFE intègre chaque exigence :</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Comptabilité d'administration ET comptabilité en fidéicommis séparées (section IV)</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Dépôt sans délai de l'argent reçu en fidéicommis dans un compte général en fidéicommis (art. 50)</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Interdiction de retirer plus que les services rendus ou débours engagés</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Retrait uniquement par chèque ou virement vers un compte non-fidéicommis</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Reçu obligatoire pour toute somme en espèces + inscription aux journaux</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Limite de 7 500 $ en espèces pour un même mandat (sauf cas spécifiques)</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Conservation minimum 7 ans des copies de chèques et ordres de paiement</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Identification et vérification d'identité des clients (art. 23)</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Journal de caisse recettes-déboursés d'administration (section V)</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Journal de caisse recettes-déboursés en fidéicommis (section VI)</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Registre de cartes-clients et rapports comptables mensuels</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Déclaration T3 pour comptes particuliers en fidéicommis (si &gt; 3 mois et &gt; 50 000 $)</w:t>
      </w:r>
    </w:p>
    <w:p>
      <w:pPr>
        <w:spacing w:after="60"/>
      </w:pPr>
    </w:p>
    <w:p>
      <w:pPr>
        <w:pStyle w:val="Heading2"/>
      </w:pPr>
      <w:r>
        <w:t xml:space="preserve">3.2 Code de déontologie des avocats (RLRQ c B-1, r 3.1)</w:t>
      </w:r>
    </w:p>
    <w:p>
      <w:pPr>
        <w:spacing w:after="20"/>
      </w:pP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Honoraires justes et raisonnables, proportionnés aux services rendus (art. 102)</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Facture détaillant les services professionnels par avocat (art. 104)</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Explication nécessaire à la compréhension de la facture (art. 105)</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Secret professionnel absolu sur les données clients (art. 60+)</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Convention de mandat et d'honoraires recommandée par le Barreau</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Conflits d'intérêts : vérification obligatoire à l'ouverture de dossier (art. 72)</w:t>
      </w:r>
    </w:p>
    <w:p>
      <w:pPr>
        <w:spacing w:after="60"/>
      </w:pPr>
    </w:p>
    <w:p>
      <w:pPr>
        <w:pStyle w:val="Heading2"/>
      </w:pPr>
      <w:r>
        <w:t xml:space="preserve">3.3 Loi 25 — Protection des renseignements personnels</w:t>
      </w:r>
    </w:p>
    <w:p>
      <w:pPr>
        <w:spacing w:after="20"/>
      </w:pP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Désigner un responsable de la protection des renseignements personnels</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Politique de confidentialité claire et accessible</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Consentement explicite pour la collecte</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Registre des incidents de confidentialité</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Notification obligatoire en cas d'incident à risque sérieux</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Droit à la portabilité des données (format structuré)</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Paramètres de confidentialité au plus haut niveau par défaut</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EFVP avant tout transfert hors Québec</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Sanctions : jusqu'à 25 M$ ou 4% du CA mondial</w:t>
      </w:r>
    </w:p>
    <w:p>
      <w:pPr>
        <w:spacing w:after="60"/>
      </w:pPr>
    </w:p>
    <w:p>
      <w:pPr>
        <w:pStyle w:val="Heading2"/>
      </w:pPr>
      <w:r>
        <w:t xml:space="preserve">3.4 Guide du Barreau sur l'IA générative (octobre 2025)</w:t>
      </w:r>
    </w:p>
    <w:p>
      <w:pPr>
        <w:spacing w:after="20"/>
      </w:pPr>
    </w:p>
    <w:p>
      <w:pPr>
        <w:spacing w:after="120"/>
      </w:pPr>
      <w:r>
        <w:rPr>
          <w:rFonts w:ascii="Arial" w:cs="Arial" w:eastAsia="Arial" w:hAnsi="Arial"/>
          <w:sz w:val="22"/>
          <w:szCs w:val="22"/>
        </w:rPr>
        <w:t xml:space="preserve">Le Barreau du Québec a publié un guide officiel pour l'utilisation responsable de l'IA générative. Les agents IA de SAFE respectent TOUTES ces directives :</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L'IA est un outil d'assistance, jamais un substitut à l'avocat</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Validation humaine obligatoire de tout contenu généré par l'IA avant intégration au dossier</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Protection du secret professionnel : aucune donnée client ne transite vers des serveurs non sécurisés</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Traçabilité : chaque action IA est loguée (consignes, réponses, validations)</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Consentement du client requis pour l'utilisation de l'IA dans son dossier</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Politique d'utilisation IA claire et documentée par cabinet</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Les agents ne fournissent jamais de conseils juridiques — ils assistent dans les tâches administratives et comptables</w:t>
      </w:r>
    </w:p>
    <w:p>
      <w:r>
        <w:br w:type="page"/>
      </w:r>
    </w:p>
    <w:p>
      <w:pPr>
        <w:pStyle w:val="Heading1"/>
      </w:pPr>
      <w:r>
        <w:t xml:space="preserve">4. Agents IA entraînés selon le Barreau</w:t>
      </w:r>
    </w:p>
    <w:p>
      <w:pPr>
        <w:spacing w:after="40"/>
      </w:pPr>
    </w:p>
    <w:p>
      <w:pPr>
        <w:spacing w:after="120"/>
      </w:pPr>
      <w:r>
        <w:rPr>
          <w:rFonts w:ascii="Arial" w:cs="Arial" w:eastAsia="Arial" w:hAnsi="Arial"/>
          <w:sz w:val="22"/>
          <w:szCs w:val="22"/>
        </w:rPr>
        <w:t xml:space="preserve">Les deux agents IA de SAFE sont le cœur du produit premium. Ils ne sont pas des chatbots génériques — ils sont entraînés sur les textes réglementaires du Barreau du Québec et respectent le Guide pratique pour une utilisation responsable de l'IA générative.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0392B" w:sz="12"/>
              <w:bottom w:val="none" w:sz="0"/>
              <w:right w:val="none" w:sz="0"/>
            </w:tcBorders>
            <w:shd w:fill="FAFAFA" w:val="clear"/>
            <w:tcMar>
              <w:top w:type="dxa" w:w="120"/>
              <w:left w:type="dxa" w:w="200"/>
              <w:bottom w:type="dxa" w:w="120"/>
              <w:right w:type="dxa" w:w="160"/>
            </w:tcMar>
          </w:tcPr>
          <w:p>
            <w:pPr>
              <w:spacing w:after="40"/>
            </w:pPr>
            <w:r>
              <w:rPr>
                <w:rFonts w:ascii="Arial" w:cs="Arial" w:eastAsia="Arial" w:hAnsi="Arial"/>
                <w:b/>
                <w:bCs/>
                <w:color w:val="C0392B"/>
                <w:sz w:val="20"/>
                <w:szCs w:val="20"/>
              </w:rPr>
              <w:t xml:space="preserve">RÈGLE ABSOLUE : Les agents IA de SAFE ne pratiquent PAS le droit.</w:t>
            </w:r>
          </w:p>
          <w:p>
            <w:pPr>
              <w:spacing w:after="30"/>
            </w:pPr>
            <w:r>
              <w:rPr>
                <w:rFonts w:ascii="Arial" w:cs="Arial" w:eastAsia="Arial" w:hAnsi="Arial"/>
                <w:color w:val="444444"/>
                <w:sz w:val="20"/>
                <w:szCs w:val="20"/>
              </w:rPr>
              <w:t xml:space="preserve">Ils ne donnent jamais de conseils juridiques. Ils ne rédigent pas de procédures. Ils ne font pas d'analyse juridique.</w:t>
            </w:r>
          </w:p>
          <w:p>
            <w:pPr>
              <w:spacing w:after="30"/>
            </w:pPr>
            <w:r>
              <w:rPr>
                <w:rFonts w:ascii="Arial" w:cs="Arial" w:eastAsia="Arial" w:hAnsi="Arial"/>
                <w:color w:val="444444"/>
                <w:sz w:val="20"/>
                <w:szCs w:val="20"/>
              </w:rPr>
              <w:t xml:space="preserve">Ils sont des assistants administratifs et comptables qui connaissent les règles du Barreau pour EMPÊCHER les erreurs de conformité, pas pour fournir des opinions légales.</w:t>
            </w:r>
          </w:p>
          <w:p>
            <w:pPr>
              <w:spacing w:after="30"/>
            </w:pPr>
            <w:r>
              <w:rPr>
                <w:rFonts w:ascii="Arial" w:cs="Arial" w:eastAsia="Arial" w:hAnsi="Arial"/>
                <w:color w:val="444444"/>
                <w:sz w:val="20"/>
                <w:szCs w:val="20"/>
              </w:rPr>
              <w:t xml:space="preserve">Cette distinction est fondamentale pour éviter l'exercice illégal de la profession (art. 128, Loi sur le Barreau).</w:t>
            </w:r>
          </w:p>
        </w:tc>
      </w:tr>
    </w:tbl>
    <w:p>
      <w:pPr>
        <w:spacing w:after="60"/>
      </w:pPr>
    </w:p>
    <w:p>
      <w:pPr>
        <w:pStyle w:val="Heading2"/>
      </w:pPr>
      <w:r>
        <w:t xml:space="preserve">4.1 Agent Finance</w:t>
      </w:r>
    </w:p>
    <w:p>
      <w:pPr>
        <w:spacing w:after="20"/>
      </w:pPr>
    </w:p>
    <w:p>
      <w:pPr>
        <w:spacing w:after="100"/>
      </w:pPr>
      <w:r>
        <w:rPr>
          <w:rFonts w:ascii="Arial" w:cs="Arial" w:eastAsia="Arial" w:hAnsi="Arial"/>
          <w:b/>
          <w:bCs/>
          <w:sz w:val="22"/>
          <w:szCs w:val="22"/>
        </w:rPr>
        <w:t xml:space="preserve">Personnalité : </w:t>
      </w:r>
      <w:r>
        <w:rPr>
          <w:rFonts w:ascii="Arial" w:cs="Arial" w:eastAsia="Arial" w:hAnsi="Arial"/>
          <w:sz w:val="22"/>
          <w:szCs w:val="22"/>
        </w:rPr>
        <w:t xml:space="preserve">Professionnel, précis, respectueux. Réponses courtes, claires et complètes. S'adapte au langage de l'interlocuteur. Cite toujours l'article réglementaire pertinent quand il détecte un risque.</w:t>
      </w:r>
    </w:p>
    <w:p>
      <w:pPr>
        <w:spacing w:after="20"/>
      </w:pPr>
    </w:p>
    <w:p>
      <w:pPr>
        <w:spacing w:after="100"/>
      </w:pPr>
      <w:r>
        <w:rPr>
          <w:rFonts w:ascii="Arial" w:cs="Arial" w:eastAsia="Arial" w:hAnsi="Arial"/>
          <w:b/>
          <w:bCs/>
          <w:sz w:val="22"/>
          <w:szCs w:val="22"/>
        </w:rPr>
        <w:t xml:space="preserve">Base de connaissances réglementaire : </w:t>
      </w:r>
      <w:r>
        <w:rPr>
          <w:rFonts w:ascii="Arial" w:cs="Arial" w:eastAsia="Arial" w:hAnsi="Arial"/>
          <w:sz w:val="22"/>
          <w:szCs w:val="22"/>
        </w:rPr>
        <w:t xml:space="preserve"/>
      </w:r>
    </w:p>
    <w:p>
      <w:pPr>
        <w:spacing w:after="40"/>
        <w:ind w:left="300"/>
      </w:pPr>
      <w:r>
        <w:rPr>
          <w:rFonts w:ascii="Arial" w:cs="Arial" w:eastAsia="Arial" w:hAnsi="Arial"/>
          <w:color w:val="047857"/>
          <w:sz w:val="20"/>
          <w:szCs w:val="20"/>
        </w:rPr>
        <w:t xml:space="preserve">• </w:t>
      </w:r>
      <w:r>
        <w:rPr>
          <w:rFonts w:ascii="Arial" w:cs="Arial" w:eastAsia="Arial" w:hAnsi="Arial"/>
          <w:sz w:val="20"/>
          <w:szCs w:val="20"/>
        </w:rPr>
        <w:t xml:space="preserve">Règlement B-1, r.5 — Comptabilité et normes d'exercice (texte intégral injecté en contexte)</w:t>
      </w:r>
    </w:p>
    <w:p>
      <w:pPr>
        <w:spacing w:after="40"/>
        <w:ind w:left="300"/>
      </w:pPr>
      <w:r>
        <w:rPr>
          <w:rFonts w:ascii="Arial" w:cs="Arial" w:eastAsia="Arial" w:hAnsi="Arial"/>
          <w:color w:val="047857"/>
          <w:sz w:val="20"/>
          <w:szCs w:val="20"/>
        </w:rPr>
        <w:t xml:space="preserve">• </w:t>
      </w:r>
      <w:r>
        <w:rPr>
          <w:rFonts w:ascii="Arial" w:cs="Arial" w:eastAsia="Arial" w:hAnsi="Arial"/>
          <w:sz w:val="20"/>
          <w:szCs w:val="20"/>
        </w:rPr>
        <w:t xml:space="preserve">Code de déontologie — Articles sur les honoraires (art. 99-107)</w:t>
      </w:r>
    </w:p>
    <w:p>
      <w:pPr>
        <w:spacing w:after="40"/>
        <w:ind w:left="300"/>
      </w:pPr>
      <w:r>
        <w:rPr>
          <w:rFonts w:ascii="Arial" w:cs="Arial" w:eastAsia="Arial" w:hAnsi="Arial"/>
          <w:color w:val="047857"/>
          <w:sz w:val="20"/>
          <w:szCs w:val="20"/>
        </w:rPr>
        <w:t xml:space="preserve">• </w:t>
      </w:r>
      <w:r>
        <w:rPr>
          <w:rFonts w:ascii="Arial" w:cs="Arial" w:eastAsia="Arial" w:hAnsi="Arial"/>
          <w:sz w:val="20"/>
          <w:szCs w:val="20"/>
        </w:rPr>
        <w:t xml:space="preserve">FAQ officielle du Barreau sur la comptabilité et les fidéicommis</w:t>
      </w:r>
    </w:p>
    <w:p>
      <w:pPr>
        <w:spacing w:after="40"/>
        <w:ind w:left="300"/>
      </w:pPr>
      <w:r>
        <w:rPr>
          <w:rFonts w:ascii="Arial" w:cs="Arial" w:eastAsia="Arial" w:hAnsi="Arial"/>
          <w:color w:val="047857"/>
          <w:sz w:val="20"/>
          <w:szCs w:val="20"/>
        </w:rPr>
        <w:t xml:space="preserve">• </w:t>
      </w:r>
      <w:r>
        <w:rPr>
          <w:rFonts w:ascii="Arial" w:cs="Arial" w:eastAsia="Arial" w:hAnsi="Arial"/>
          <w:sz w:val="20"/>
          <w:szCs w:val="20"/>
        </w:rPr>
        <w:t xml:space="preserve">Guide Tarification des services juridiques : Un regard 360°</w:t>
      </w:r>
    </w:p>
    <w:p>
      <w:pPr>
        <w:spacing w:after="40"/>
        <w:ind w:left="300"/>
      </w:pPr>
      <w:r>
        <w:rPr>
          <w:rFonts w:ascii="Arial" w:cs="Arial" w:eastAsia="Arial" w:hAnsi="Arial"/>
          <w:color w:val="047857"/>
          <w:sz w:val="20"/>
          <w:szCs w:val="20"/>
        </w:rPr>
        <w:t xml:space="preserve">• </w:t>
      </w:r>
      <w:r>
        <w:rPr>
          <w:rFonts w:ascii="Arial" w:cs="Arial" w:eastAsia="Arial" w:hAnsi="Arial"/>
          <w:sz w:val="20"/>
          <w:szCs w:val="20"/>
        </w:rPr>
        <w:t xml:space="preserve">Règles sur les comptes particuliers et déclaration T3</w:t>
      </w:r>
    </w:p>
    <w:p>
      <w:pPr>
        <w:spacing w:after="40"/>
        <w:ind w:left="300"/>
      </w:pPr>
      <w:r>
        <w:rPr>
          <w:rFonts w:ascii="Arial" w:cs="Arial" w:eastAsia="Arial" w:hAnsi="Arial"/>
          <w:color w:val="047857"/>
          <w:sz w:val="20"/>
          <w:szCs w:val="20"/>
        </w:rPr>
        <w:t xml:space="preserve">• </w:t>
      </w:r>
      <w:r>
        <w:rPr>
          <w:rFonts w:ascii="Arial" w:cs="Arial" w:eastAsia="Arial" w:hAnsi="Arial"/>
          <w:sz w:val="20"/>
          <w:szCs w:val="20"/>
        </w:rPr>
        <w:t xml:space="preserve">Modèles officiels du Barreau (journal de caisse, registre cartes-clients)</w:t>
      </w:r>
    </w:p>
    <w:p>
      <w:pPr>
        <w:spacing w:after="20"/>
      </w:pPr>
    </w:p>
    <w:p>
      <w:pPr>
        <w:spacing w:after="100"/>
      </w:pPr>
      <w:r>
        <w:rPr>
          <w:rFonts w:ascii="Arial" w:cs="Arial" w:eastAsia="Arial" w:hAnsi="Arial"/>
          <w:b/>
          <w:bCs/>
          <w:sz w:val="22"/>
          <w:szCs w:val="22"/>
        </w:rPr>
        <w:t xml:space="preserve">Skills Bookkeeping : </w:t>
      </w:r>
      <w:r>
        <w:rPr>
          <w:rFonts w:ascii="Arial" w:cs="Arial" w:eastAsia="Arial" w:hAnsi="Arial"/>
          <w:sz w:val="22"/>
          <w:szCs w:val="22"/>
        </w:rPr>
        <w:t xml:space="preserve">Transactions, catégorisation, écritures comptables, mise à jour cartes clients, conciliation fidéicommis, saisie temps par conversation</w:t>
      </w:r>
    </w:p>
    <w:p>
      <w:pPr>
        <w:spacing w:after="100"/>
      </w:pPr>
      <w:r>
        <w:rPr>
          <w:rFonts w:ascii="Arial" w:cs="Arial" w:eastAsia="Arial" w:hAnsi="Arial"/>
          <w:b/>
          <w:bCs/>
          <w:sz w:val="22"/>
          <w:szCs w:val="22"/>
        </w:rPr>
        <w:t xml:space="preserve">Skills Facturation : </w:t>
      </w:r>
      <w:r>
        <w:rPr>
          <w:rFonts w:ascii="Arial" w:cs="Arial" w:eastAsia="Arial" w:hAnsi="Arial"/>
          <w:sz w:val="22"/>
          <w:szCs w:val="22"/>
        </w:rPr>
        <w:t xml:space="preserve">Détection temps non facturé, génération facture conforme (détail par avocat, débours), vérification arriérés, pipeline post-approbation (PDF + lettre + courriel + écriture comptable)</w:t>
      </w:r>
    </w:p>
    <w:p>
      <w:pPr>
        <w:spacing w:after="100"/>
      </w:pPr>
      <w:r>
        <w:rPr>
          <w:rFonts w:ascii="Arial" w:cs="Arial" w:eastAsia="Arial" w:hAnsi="Arial"/>
          <w:b/>
          <w:bCs/>
          <w:sz w:val="22"/>
          <w:szCs w:val="22"/>
        </w:rPr>
        <w:t xml:space="preserve">Skills Audit / Conformité : </w:t>
      </w:r>
      <w:r>
        <w:rPr>
          <w:rFonts w:ascii="Arial" w:cs="Arial" w:eastAsia="Arial" w:hAnsi="Arial"/>
          <w:sz w:val="22"/>
          <w:szCs w:val="22"/>
        </w:rPr>
        <w:t xml:space="preserve">Surveillance séparation fidéicommis/opérations, alertes non-conformité en citant l'article exact, rapports Barreau, rappel T3, aging comptes recevables</w:t>
      </w:r>
    </w:p>
    <w:p>
      <w:pPr>
        <w:spacing w:after="20"/>
      </w:pPr>
    </w:p>
    <w:p>
      <w:pPr>
        <w:spacing w:after="100"/>
      </w:pPr>
      <w:r>
        <w:rPr>
          <w:rFonts w:ascii="Arial" w:cs="Arial" w:eastAsia="Arial" w:hAnsi="Arial"/>
          <w:b/>
          <w:bCs/>
          <w:sz w:val="22"/>
          <w:szCs w:val="22"/>
        </w:rPr>
        <w:t xml:space="preserve">Niveaux d'autonomie : </w:t>
      </w:r>
      <w:r>
        <w:rPr>
          <w:rFonts w:ascii="Arial" w:cs="Arial" w:eastAsia="Arial" w:hAnsi="Arial"/>
          <w:sz w:val="22"/>
          <w:szCs w:val="22"/>
        </w:rPr>
        <w:t xml:space="preserve"/>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AUTO : Catégorisation de transactions, mise à jour cartes clients, alertes de délais</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ASSISTÉ : Facturation (propose, l'avocat valide avant envoi), saisie de temps, rapports</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SUPERVISÉ (toujours) : Fidéicommis (tout mouvement exige validation humaine), rapports Barreau, T3</w:t>
      </w:r>
    </w:p>
    <w:p>
      <w:pPr>
        <w:spacing w:after="60"/>
      </w:pPr>
    </w:p>
    <w:p>
      <w:pPr>
        <w:pStyle w:val="Heading2"/>
      </w:pPr>
      <w:r>
        <w:t xml:space="preserve">4.2 Agent Assistant Juridique</w:t>
      </w:r>
    </w:p>
    <w:p>
      <w:pPr>
        <w:spacing w:after="20"/>
      </w:pPr>
    </w:p>
    <w:p>
      <w:pPr>
        <w:spacing w:after="100"/>
      </w:pPr>
      <w:r>
        <w:rPr>
          <w:rFonts w:ascii="Arial" w:cs="Arial" w:eastAsia="Arial" w:hAnsi="Arial"/>
          <w:b/>
          <w:bCs/>
          <w:sz w:val="22"/>
          <w:szCs w:val="22"/>
        </w:rPr>
        <w:t xml:space="preserve">Personnalité : </w:t>
      </w:r>
      <w:r>
        <w:rPr>
          <w:rFonts w:ascii="Arial" w:cs="Arial" w:eastAsia="Arial" w:hAnsi="Arial"/>
          <w:sz w:val="22"/>
          <w:szCs w:val="22"/>
        </w:rPr>
        <w:t xml:space="preserve">Méthodique, organisé, proactif. Connaît les standards du Barreau et les méthodes du cabinet. Ne donne jamais d'opinion juridique.</w:t>
      </w:r>
    </w:p>
    <w:p>
      <w:pPr>
        <w:spacing w:after="20"/>
      </w:pPr>
    </w:p>
    <w:p>
      <w:pPr>
        <w:spacing w:after="100"/>
      </w:pPr>
      <w:r>
        <w:rPr>
          <w:rFonts w:ascii="Arial" w:cs="Arial" w:eastAsia="Arial" w:hAnsi="Arial"/>
          <w:b/>
          <w:bCs/>
          <w:sz w:val="22"/>
          <w:szCs w:val="22"/>
        </w:rPr>
        <w:t xml:space="preserve">Base de connaissances réglementaire : </w:t>
      </w:r>
      <w:r>
        <w:rPr>
          <w:rFonts w:ascii="Arial" w:cs="Arial" w:eastAsia="Arial" w:hAnsi="Arial"/>
          <w:sz w:val="22"/>
          <w:szCs w:val="22"/>
        </w:rPr>
        <w:t xml:space="preserve"/>
      </w:r>
    </w:p>
    <w:p>
      <w:pPr>
        <w:spacing w:after="40"/>
        <w:ind w:left="300"/>
      </w:pPr>
      <w:r>
        <w:rPr>
          <w:rFonts w:ascii="Arial" w:cs="Arial" w:eastAsia="Arial" w:hAnsi="Arial"/>
          <w:color w:val="378ADD"/>
          <w:sz w:val="20"/>
          <w:szCs w:val="20"/>
        </w:rPr>
        <w:t xml:space="preserve">• </w:t>
      </w:r>
      <w:r>
        <w:rPr>
          <w:rFonts w:ascii="Arial" w:cs="Arial" w:eastAsia="Arial" w:hAnsi="Arial"/>
          <w:sz w:val="20"/>
          <w:szCs w:val="20"/>
        </w:rPr>
        <w:t xml:space="preserve">Règlement B-1, r.5 — Section III : Tenue des dossiers (art. 5-22)</w:t>
      </w:r>
    </w:p>
    <w:p>
      <w:pPr>
        <w:spacing w:after="40"/>
        <w:ind w:left="300"/>
      </w:pPr>
      <w:r>
        <w:rPr>
          <w:rFonts w:ascii="Arial" w:cs="Arial" w:eastAsia="Arial" w:hAnsi="Arial"/>
          <w:color w:val="378ADD"/>
          <w:sz w:val="20"/>
          <w:szCs w:val="20"/>
        </w:rPr>
        <w:t xml:space="preserve">• </w:t>
      </w:r>
      <w:r>
        <w:rPr>
          <w:rFonts w:ascii="Arial" w:cs="Arial" w:eastAsia="Arial" w:hAnsi="Arial"/>
          <w:sz w:val="20"/>
          <w:szCs w:val="20"/>
        </w:rPr>
        <w:t xml:space="preserve">Formulaires TUF 2025 (SJ-1326 à SJ-1329)</w:t>
      </w:r>
    </w:p>
    <w:p>
      <w:pPr>
        <w:spacing w:after="40"/>
        <w:ind w:left="300"/>
      </w:pPr>
      <w:r>
        <w:rPr>
          <w:rFonts w:ascii="Arial" w:cs="Arial" w:eastAsia="Arial" w:hAnsi="Arial"/>
          <w:color w:val="378ADD"/>
          <w:sz w:val="20"/>
          <w:szCs w:val="20"/>
        </w:rPr>
        <w:t xml:space="preserve">• </w:t>
      </w:r>
      <w:r>
        <w:rPr>
          <w:rFonts w:ascii="Arial" w:cs="Arial" w:eastAsia="Arial" w:hAnsi="Arial"/>
          <w:sz w:val="20"/>
          <w:szCs w:val="20"/>
        </w:rPr>
        <w:t xml:space="preserve">Guide pratique du Barreau : Vos devoirs et obligations déontologiques</w:t>
      </w:r>
    </w:p>
    <w:p>
      <w:pPr>
        <w:spacing w:after="40"/>
        <w:ind w:left="300"/>
      </w:pPr>
      <w:r>
        <w:rPr>
          <w:rFonts w:ascii="Arial" w:cs="Arial" w:eastAsia="Arial" w:hAnsi="Arial"/>
          <w:color w:val="378ADD"/>
          <w:sz w:val="20"/>
          <w:szCs w:val="20"/>
        </w:rPr>
        <w:t xml:space="preserve">• </w:t>
      </w:r>
      <w:r>
        <w:rPr>
          <w:rFonts w:ascii="Arial" w:cs="Arial" w:eastAsia="Arial" w:hAnsi="Arial"/>
          <w:sz w:val="20"/>
          <w:szCs w:val="20"/>
        </w:rPr>
        <w:t xml:space="preserve">Code de déontologie — Articles sur la tenue de dossiers et les délais</w:t>
      </w:r>
    </w:p>
    <w:p>
      <w:pPr>
        <w:spacing w:after="40"/>
        <w:ind w:left="300"/>
      </w:pPr>
      <w:r>
        <w:rPr>
          <w:rFonts w:ascii="Arial" w:cs="Arial" w:eastAsia="Arial" w:hAnsi="Arial"/>
          <w:color w:val="378ADD"/>
          <w:sz w:val="20"/>
          <w:szCs w:val="20"/>
        </w:rPr>
        <w:t xml:space="preserve">• </w:t>
      </w:r>
      <w:r>
        <w:rPr>
          <w:rFonts w:ascii="Arial" w:cs="Arial" w:eastAsia="Arial" w:hAnsi="Arial"/>
          <w:sz w:val="20"/>
          <w:szCs w:val="20"/>
        </w:rPr>
        <w:t xml:space="preserve">Catégories documentaires standard : Mandat, Formulaires, Pièces, Procédures, Jugements, Correspondance, Fidéicommis, Notes, Débours, Fermeture</w:t>
      </w:r>
    </w:p>
    <w:p>
      <w:pPr>
        <w:spacing w:after="20"/>
      </w:pPr>
    </w:p>
    <w:p>
      <w:pPr>
        <w:spacing w:after="100"/>
      </w:pPr>
      <w:r>
        <w:rPr>
          <w:rFonts w:ascii="Arial" w:cs="Arial" w:eastAsia="Arial" w:hAnsi="Arial"/>
          <w:b/>
          <w:bCs/>
          <w:sz w:val="22"/>
          <w:szCs w:val="22"/>
        </w:rPr>
        <w:t xml:space="preserve">Skills : </w:t>
      </w:r>
      <w:r>
        <w:rPr>
          <w:rFonts w:ascii="Arial" w:cs="Arial" w:eastAsia="Arial" w:hAnsi="Arial"/>
          <w:sz w:val="22"/>
          <w:szCs w:val="22"/>
        </w:rPr>
        <w:t xml:space="preserve">Classement documents par catégorie, suggestion documents manquants, checklist complétude par section, intégration formulaires TUF, alertes échéances et audiences, vérification d'identité client (art. 23)</w:t>
      </w:r>
    </w:p>
    <w:p>
      <w:pPr>
        <w:spacing w:after="20"/>
      </w:pPr>
    </w:p>
    <w:p>
      <w:pPr>
        <w:spacing w:after="100"/>
      </w:pPr>
      <w:r>
        <w:rPr>
          <w:rFonts w:ascii="Arial" w:cs="Arial" w:eastAsia="Arial" w:hAnsi="Arial"/>
          <w:b/>
          <w:bCs/>
          <w:sz w:val="22"/>
          <w:szCs w:val="22"/>
        </w:rPr>
        <w:t xml:space="preserve">Autonomie : </w:t>
      </w:r>
      <w:r>
        <w:rPr>
          <w:rFonts w:ascii="Arial" w:cs="Arial" w:eastAsia="Arial" w:hAnsi="Arial"/>
          <w:sz w:val="22"/>
          <w:szCs w:val="22"/>
        </w:rPr>
        <w:t xml:space="preserve">ASSISTÉ pour tout. L'agent propose, l'avocat valide. Aucune action automatique sur les dossiers.</w:t>
      </w:r>
    </w:p>
    <w:p>
      <w:pPr>
        <w:spacing w:after="60"/>
      </w:pPr>
    </w:p>
    <w:p>
      <w:pPr>
        <w:pStyle w:val="Heading2"/>
      </w:pPr>
      <w:r>
        <w:t xml:space="preserve">4.3 Architecture technique des agents</w:t>
      </w:r>
    </w:p>
    <w:p>
      <w:pPr>
        <w:spacing w:after="20"/>
      </w:pP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Claude API avec function calling (pas de LangChain, trop lourd pour ce stade)</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System prompt injecté avec les textes réglementaires pertinents (B-1 r.5, Code de déontologie)</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Functions (tools) qui appellent l'API Supabase : créerFacture(), ajouterTemps(), mouvementFideicommis(), etc.</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Model routing : Haiku (catégorisation) → Sonnet (facturation, dialogue) → Opus (audit, analyse documentaire)</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Semantic caching avec pgvector pour les questions répétitives (économie 40-60% sur les coûts API)</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Chaque action IA loguée dans audit_logs (traçabilité exigée par le Guide IA du Barreau)</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Fallback gracieux : si l'IA échoue, l'interface manuelle reste disponible à 100%</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Zéro accès IA direct à la DB. Uniquement via functions prédéfinies avec permissions RBAC</w:t>
      </w:r>
    </w:p>
    <w:p>
      <w:r>
        <w:br w:type="page"/>
      </w:r>
    </w:p>
    <w:p>
      <w:pPr>
        <w:pStyle w:val="Heading1"/>
      </w:pPr>
      <w:r>
        <w:t xml:space="preserve">5. Modèle de données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416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Champs clés</w:t>
            </w:r>
          </w:p>
        </w:tc>
        <w:tc>
          <w:tcPr>
            <w:tcW w:type="dxa" w:w="26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Relations</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cabinets</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id, nom, adresse, logo, plan, settings, responsable_rp</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Parent (multi-tenancy)</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users</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id, cabinet_id, nom, email, role, avatar</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-&gt; cabinets</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clients</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id, cabinet_id, nom, prenom, NAS_chiffré, identite_verifiee</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-&gt; cabinets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dossiers</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id, client_id, avocat_id, numero, type_cause, statut, completude_%</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-&gt; clients, users</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entrees_temps</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id, user_id, dossier_id, duree_min, taux, facturable, description</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-&gt; users, dossiers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factures</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id, dossier_id, numero, total, statut, pdf_url, lettre_url</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-&gt; dossiers</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lignes_facture</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id, facture_id, type (honoraires/debours), description, montant</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-&gt; factures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paiements</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id, facture_id, montant, methode, date, stripe_id</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-&gt; factures</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transactions</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id, cabinet_id, date, type, entree, sortie, categorie</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Journal comptable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fideicommis</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id, client_id, type (general/particulier), solde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-&gt; clients</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mouvements_fideicommis</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id, fideicommis_id, montant, type, valide_par, motif</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-&gt; fideicommis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documents</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id, dossier_id, nom, categorie, chemin, uploaded_by</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-&gt; dossiers</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agents_ia</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id, cabinet_id, type, nom, avatar, config, autonomie</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-&gt; cabinets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conversations</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id, agent_id, user_id, messages_json, cout_tokens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-&gt; agents_ia, users</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audit_logs</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id, cabinet_id, user_id, action, details, ip, created_at</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Append-only, 7 ans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incidents_confidentialite</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id, cabinet_id, description, gravite, notifie, date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Loi 25</w:t>
            </w:r>
          </w:p>
        </w:tc>
      </w:tr>
    </w:tbl>
    <w:p>
      <w:r>
        <w:br w:type="page"/>
      </w:r>
    </w:p>
    <w:p>
      <w:pPr>
        <w:pStyle w:val="Heading1"/>
      </w:pPr>
      <w:r>
        <w:t xml:space="preserve">6. Rôles et permissions (RBAC)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360"/>
        <w:gridCol w:w="1600"/>
        <w:gridCol w:w="1600"/>
      </w:tblGrid>
      <w:tr>
        <w:tc>
          <w:tcPr>
            <w:tcW w:type="dxa" w:w="22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Permission</w:t>
            </w:r>
          </w:p>
        </w:tc>
        <w:tc>
          <w:tcPr>
            <w:tcW w:type="dxa" w:w="12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Admin</w:t>
            </w:r>
          </w:p>
        </w:tc>
        <w:tc>
          <w:tcPr>
            <w:tcW w:type="dxa" w:w="14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Avocat</w:t>
            </w:r>
          </w:p>
        </w:tc>
        <w:tc>
          <w:tcPr>
            <w:tcW w:type="dxa" w:w="136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Adjoint(e)</w:t>
            </w:r>
          </w:p>
        </w:tc>
        <w:tc>
          <w:tcPr>
            <w:tcW w:type="dxa" w:w="16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Bookkeeper</w:t>
            </w:r>
          </w:p>
        </w:tc>
        <w:tc>
          <w:tcPr>
            <w:tcW w:type="dxa" w:w="16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Client</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Dashboard global</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Oui</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Ses stats</w:t>
            </w:r>
          </w:p>
        </w:tc>
        <w:tc>
          <w:tcPr>
            <w:tcW w:type="dxa" w:w="1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Finances</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Gérer utilisateurs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c>
          <w:tcPr>
            <w:tcW w:type="dxa" w:w="1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Configurer agents IA</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Oui</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w:t>
            </w:r>
          </w:p>
        </w:tc>
        <w:tc>
          <w:tcPr>
            <w:tcW w:type="dxa" w:w="1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Voir tous les dossiers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Ses dossiers</w:t>
            </w:r>
          </w:p>
        </w:tc>
        <w:tc>
          <w:tcPr>
            <w:tcW w:type="dxa" w:w="1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Assignés</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Statut seul</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Saisir du temps</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Oui</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Oui</w:t>
            </w:r>
          </w:p>
        </w:tc>
        <w:tc>
          <w:tcPr>
            <w:tcW w:type="dxa" w:w="1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Oui</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Créer factures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c>
          <w:tcPr>
            <w:tcW w:type="dxa" w:w="1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Approuver factures</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Oui</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Les siennes</w:t>
            </w:r>
          </w:p>
        </w:tc>
        <w:tc>
          <w:tcPr>
            <w:tcW w:type="dxa" w:w="1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Voir les revenus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Ses revenus</w:t>
            </w:r>
          </w:p>
        </w:tc>
        <w:tc>
          <w:tcPr>
            <w:tcW w:type="dxa" w:w="1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Gérer fidéicommis</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Oui</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w:t>
            </w:r>
          </w:p>
        </w:tc>
        <w:tc>
          <w:tcPr>
            <w:tcW w:type="dxa" w:w="1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Oui</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Voir solde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Comptabilité complète</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c>
          <w:tcPr>
            <w:tcW w:type="dxa" w:w="1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Parler aux agents IA</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Oui</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Oui</w:t>
            </w:r>
          </w:p>
        </w:tc>
        <w:tc>
          <w:tcPr>
            <w:tcW w:type="dxa" w:w="1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Oui</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Oui</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Portail client</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c>
          <w:tcPr>
            <w:tcW w:type="dxa" w:w="1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r>
    </w:tbl>
    <w:p>
      <w:r>
        <w:br w:type="page"/>
      </w:r>
    </w:p>
    <w:p>
      <w:pPr>
        <w:pStyle w:val="Heading1"/>
      </w:pPr>
      <w:r>
        <w:t xml:space="preserve">7. Modèle de prix</w:t>
      </w:r>
    </w:p>
    <w:p>
      <w:pPr>
        <w:spacing w:after="40"/>
      </w:pPr>
    </w:p>
    <w:p>
      <w:pPr>
        <w:pStyle w:val="Heading2"/>
      </w:pPr>
      <w:r>
        <w:t xml:space="preserve">7.1 SaaS (plateforme)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Plan</w:t>
            </w:r>
          </w:p>
        </w:tc>
        <w:tc>
          <w:tcPr>
            <w:tcW w:type="dxa" w:w="18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Prix/mois</w:t>
            </w:r>
          </w:p>
        </w:tc>
        <w:tc>
          <w:tcPr>
            <w:tcW w:type="dxa" w:w="556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Inclus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Solo</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99 $</w:t>
            </w:r>
          </w:p>
        </w:tc>
        <w:tc>
          <w:tcPr>
            <w:tcW w:type="dxa" w:w="5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1 avocat, 1 adjoint, dossiers illimités, facturation, comptabilité de base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Cabinet</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249 $</w:t>
            </w:r>
          </w:p>
        </w:tc>
        <w:tc>
          <w:tcPr>
            <w:tcW w:type="dxa" w:w="5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Jusqu'à 5 avocats, RBAC, fidéicommis, portail client, reporting</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Cabinet+</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499 $</w:t>
            </w:r>
          </w:p>
        </w:tc>
        <w:tc>
          <w:tcPr>
            <w:tcW w:type="dxa" w:w="5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Jusqu'à 20 avocats, intégration bancaire, API, support prioritaire</w:t>
            </w:r>
          </w:p>
        </w:tc>
      </w:tr>
    </w:tbl>
    <w:p>
      <w:pPr>
        <w:spacing w:after="60"/>
      </w:pPr>
    </w:p>
    <w:p>
      <w:pPr>
        <w:pStyle w:val="Heading2"/>
      </w:pPr>
      <w:r>
        <w:t xml:space="preserve">7.2 Agents IA (premium)</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16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Prix/mois</w:t>
            </w:r>
          </w:p>
        </w:tc>
        <w:tc>
          <w:tcPr>
            <w:tcW w:type="dxa" w:w="496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Valeur estimée</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Agent Finance</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999 $</w:t>
            </w:r>
          </w:p>
        </w:tc>
        <w:tc>
          <w:tcPr>
            <w:tcW w:type="dxa" w:w="4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Remplace ~25-30h/sem de bookkeeping + facturation + audit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Agent Assistant Juridique</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899 $</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Organisation documentaire + suivi + conformité TUF</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Pack Complet (2 agents)</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1 499 $</w:t>
            </w:r>
          </w:p>
        </w:tc>
        <w:tc>
          <w:tcPr>
            <w:tcW w:type="dxa" w:w="4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Économie de 21% vs achat individuel</w:t>
            </w:r>
          </w:p>
        </w:tc>
      </w:tr>
    </w:tbl>
    <w:p>
      <w:r>
        <w:br w:type="page"/>
      </w:r>
    </w:p>
    <w:p>
      <w:pPr>
        <w:pStyle w:val="Heading1"/>
      </w:pPr>
      <w:r>
        <w:t xml:space="preserve">8. Roadmap MVP (révisée CTO)</w:t>
      </w:r>
    </w:p>
    <w:p>
      <w:pPr>
        <w:spacing w:after="40"/>
      </w:pPr>
    </w:p>
    <w:p>
      <w:pPr>
        <w:spacing w:after="120"/>
      </w:pPr>
      <w:r>
        <w:rPr>
          <w:rFonts w:ascii="Arial" w:cs="Arial" w:eastAsia="Arial" w:hAnsi="Arial"/>
          <w:sz w:val="22"/>
          <w:szCs w:val="22"/>
        </w:rPr>
        <w:t xml:space="preserve">L'application V1 est déjà en ligne. La roadmap se concentre sur les améliorations pour atteindre le MVP vendable, en priorisant la conformité et la fidéicommis d'abord.</w:t>
      </w:r>
    </w:p>
    <w:p>
      <w:pPr>
        <w:spacing w:after="40"/>
      </w:pPr>
    </w:p>
    <w:p>
      <w:pPr>
        <w:spacing w:before="200" w:after="80"/>
      </w:pPr>
      <w:r>
        <w:rPr>
          <w:rFonts w:ascii="Arial" w:cs="Arial" w:eastAsia="Arial" w:hAnsi="Arial"/>
          <w:b/>
          <w:bCs/>
          <w:color w:val="C0392B"/>
          <w:sz w:val="24"/>
          <w:szCs w:val="24"/>
        </w:rPr>
        <w:t xml:space="preserve">Phase 1 — Fidéicommis + Conformité (Sem. 1-3)</w:t>
      </w:r>
    </w:p>
    <w:p>
      <w:pPr>
        <w:spacing w:after="40"/>
        <w:ind w:left="300"/>
      </w:pPr>
      <w:r>
        <w:rPr>
          <w:rFonts w:ascii="Arial" w:cs="Arial" w:eastAsia="Arial" w:hAnsi="Arial"/>
          <w:color w:val="C0392B"/>
          <w:sz w:val="20"/>
          <w:szCs w:val="20"/>
        </w:rPr>
        <w:t xml:space="preserve">• </w:t>
      </w:r>
      <w:r>
        <w:rPr>
          <w:rFonts w:ascii="Arial" w:cs="Arial" w:eastAsia="Arial" w:hAnsi="Arial"/>
          <w:sz w:val="20"/>
          <w:szCs w:val="20"/>
        </w:rPr>
        <w:t xml:space="preserve">Conciliation automatique fidéicommis avec alertes temps réel</w:t>
      </w:r>
    </w:p>
    <w:p>
      <w:pPr>
        <w:spacing w:after="40"/>
        <w:ind w:left="300"/>
      </w:pPr>
      <w:r>
        <w:rPr>
          <w:rFonts w:ascii="Arial" w:cs="Arial" w:eastAsia="Arial" w:hAnsi="Arial"/>
          <w:color w:val="C0392B"/>
          <w:sz w:val="20"/>
          <w:szCs w:val="20"/>
        </w:rPr>
        <w:t xml:space="preserve">• </w:t>
      </w:r>
      <w:r>
        <w:rPr>
          <w:rFonts w:ascii="Arial" w:cs="Arial" w:eastAsia="Arial" w:hAnsi="Arial"/>
          <w:sz w:val="20"/>
          <w:szCs w:val="20"/>
        </w:rPr>
        <w:t xml:space="preserve">Registre conforme article 50 B-1 r.5 (comptes généraux vs particuliers)</w:t>
      </w:r>
    </w:p>
    <w:p>
      <w:pPr>
        <w:spacing w:after="40"/>
        <w:ind w:left="300"/>
      </w:pPr>
      <w:r>
        <w:rPr>
          <w:rFonts w:ascii="Arial" w:cs="Arial" w:eastAsia="Arial" w:hAnsi="Arial"/>
          <w:color w:val="C0392B"/>
          <w:sz w:val="20"/>
          <w:szCs w:val="20"/>
        </w:rPr>
        <w:t xml:space="preserve">• </w:t>
      </w:r>
      <w:r>
        <w:rPr>
          <w:rFonts w:ascii="Arial" w:cs="Arial" w:eastAsia="Arial" w:hAnsi="Arial"/>
          <w:sz w:val="20"/>
          <w:szCs w:val="20"/>
        </w:rPr>
        <w:t xml:space="preserve">Audit logs append-only avec rétention 7 ans</w:t>
      </w:r>
    </w:p>
    <w:p>
      <w:pPr>
        <w:spacing w:after="40"/>
        <w:ind w:left="300"/>
      </w:pPr>
      <w:r>
        <w:rPr>
          <w:rFonts w:ascii="Arial" w:cs="Arial" w:eastAsia="Arial" w:hAnsi="Arial"/>
          <w:color w:val="C0392B"/>
          <w:sz w:val="20"/>
          <w:szCs w:val="20"/>
        </w:rPr>
        <w:t xml:space="preserve">• </w:t>
      </w:r>
      <w:r>
        <w:rPr>
          <w:rFonts w:ascii="Arial" w:cs="Arial" w:eastAsia="Arial" w:hAnsi="Arial"/>
          <w:sz w:val="20"/>
          <w:szCs w:val="20"/>
        </w:rPr>
        <w:t xml:space="preserve">Tests E2E Playwright sur chaque workflow de fidéicommis</w:t>
      </w:r>
    </w:p>
    <w:p>
      <w:pPr>
        <w:spacing w:after="40"/>
        <w:ind w:left="300"/>
      </w:pPr>
      <w:r>
        <w:rPr>
          <w:rFonts w:ascii="Arial" w:cs="Arial" w:eastAsia="Arial" w:hAnsi="Arial"/>
          <w:color w:val="C0392B"/>
          <w:sz w:val="20"/>
          <w:szCs w:val="20"/>
        </w:rPr>
        <w:t xml:space="preserve">• </w:t>
      </w:r>
      <w:r>
        <w:rPr>
          <w:rFonts w:ascii="Arial" w:cs="Arial" w:eastAsia="Arial" w:hAnsi="Arial"/>
          <w:sz w:val="20"/>
          <w:szCs w:val="20"/>
        </w:rPr>
        <w:t xml:space="preserve">Chiffrement NAS/données sensibles + vérification RLS Supabase</w:t>
      </w:r>
    </w:p>
    <w:p>
      <w:pPr>
        <w:spacing w:after="40"/>
        <w:ind w:left="300"/>
      </w:pPr>
      <w:r>
        <w:rPr>
          <w:rFonts w:ascii="Arial" w:cs="Arial" w:eastAsia="Arial" w:hAnsi="Arial"/>
          <w:color w:val="C0392B"/>
          <w:sz w:val="20"/>
          <w:szCs w:val="20"/>
        </w:rPr>
        <w:t xml:space="preserve">• </w:t>
      </w:r>
      <w:r>
        <w:rPr>
          <w:rFonts w:ascii="Arial" w:cs="Arial" w:eastAsia="Arial" w:hAnsi="Arial"/>
          <w:sz w:val="20"/>
          <w:szCs w:val="20"/>
        </w:rPr>
        <w:t xml:space="preserve">Registre d'incidents Loi 25 + politique de confidentialité</w:t>
      </w:r>
    </w:p>
    <w:p>
      <w:pPr>
        <w:spacing w:before="200" w:after="80"/>
      </w:pPr>
      <w:r>
        <w:rPr>
          <w:rFonts w:ascii="Arial" w:cs="Arial" w:eastAsia="Arial" w:hAnsi="Arial"/>
          <w:b/>
          <w:bCs/>
          <w:color w:val="E67E22"/>
          <w:sz w:val="24"/>
          <w:szCs w:val="24"/>
        </w:rPr>
        <w:t xml:space="preserve">Phase 2 — Pipeline facturation complet (Sem. 4-6)</w:t>
      </w:r>
    </w:p>
    <w:p>
      <w:pPr>
        <w:spacing w:after="40"/>
        <w:ind w:left="300"/>
      </w:pPr>
      <w:r>
        <w:rPr>
          <w:rFonts w:ascii="Arial" w:cs="Arial" w:eastAsia="Arial" w:hAnsi="Arial"/>
          <w:color w:val="E67E22"/>
          <w:sz w:val="20"/>
          <w:szCs w:val="20"/>
        </w:rPr>
        <w:t xml:space="preserve">• </w:t>
      </w:r>
      <w:r>
        <w:rPr>
          <w:rFonts w:ascii="Arial" w:cs="Arial" w:eastAsia="Arial" w:hAnsi="Arial"/>
          <w:sz w:val="20"/>
          <w:szCs w:val="20"/>
        </w:rPr>
        <w:t xml:space="preserve">Section débours dans la facture (conforme art. 104 Code déontologie)</w:t>
      </w:r>
    </w:p>
    <w:p>
      <w:pPr>
        <w:spacing w:after="40"/>
        <w:ind w:left="300"/>
      </w:pPr>
      <w:r>
        <w:rPr>
          <w:rFonts w:ascii="Arial" w:cs="Arial" w:eastAsia="Arial" w:hAnsi="Arial"/>
          <w:color w:val="E67E22"/>
          <w:sz w:val="20"/>
          <w:szCs w:val="20"/>
        </w:rPr>
        <w:t xml:space="preserve">• </w:t>
      </w:r>
      <w:r>
        <w:rPr>
          <w:rFonts w:ascii="Arial" w:cs="Arial" w:eastAsia="Arial" w:hAnsi="Arial"/>
          <w:sz w:val="20"/>
          <w:szCs w:val="20"/>
        </w:rPr>
        <w:t xml:space="preserve">Pipeline post-approbation : PDF → lettre couverture → courriel → écriture comptable</w:t>
      </w:r>
    </w:p>
    <w:p>
      <w:pPr>
        <w:spacing w:after="40"/>
        <w:ind w:left="300"/>
      </w:pPr>
      <w:r>
        <w:rPr>
          <w:rFonts w:ascii="Arial" w:cs="Arial" w:eastAsia="Arial" w:hAnsi="Arial"/>
          <w:color w:val="E67E22"/>
          <w:sz w:val="20"/>
          <w:szCs w:val="20"/>
        </w:rPr>
        <w:t xml:space="preserve">• </w:t>
      </w:r>
      <w:r>
        <w:rPr>
          <w:rFonts w:ascii="Arial" w:cs="Arial" w:eastAsia="Arial" w:hAnsi="Arial"/>
          <w:sz w:val="20"/>
          <w:szCs w:val="20"/>
        </w:rPr>
        <w:t xml:space="preserve">Vérification automatique des arriérés avant facturation</w:t>
      </w:r>
    </w:p>
    <w:p>
      <w:pPr>
        <w:spacing w:after="40"/>
        <w:ind w:left="300"/>
      </w:pPr>
      <w:r>
        <w:rPr>
          <w:rFonts w:ascii="Arial" w:cs="Arial" w:eastAsia="Arial" w:hAnsi="Arial"/>
          <w:color w:val="E67E22"/>
          <w:sz w:val="20"/>
          <w:szCs w:val="20"/>
        </w:rPr>
        <w:t xml:space="preserve">• </w:t>
      </w:r>
      <w:r>
        <w:rPr>
          <w:rFonts w:ascii="Arial" w:cs="Arial" w:eastAsia="Arial" w:hAnsi="Arial"/>
          <w:sz w:val="20"/>
          <w:szCs w:val="20"/>
        </w:rPr>
        <w:t xml:space="preserve">Chronomètre amélioré (pause/reprise + rappels)</w:t>
      </w:r>
    </w:p>
    <w:p>
      <w:pPr>
        <w:spacing w:after="40"/>
        <w:ind w:left="300"/>
      </w:pPr>
      <w:r>
        <w:rPr>
          <w:rFonts w:ascii="Arial" w:cs="Arial" w:eastAsia="Arial" w:hAnsi="Arial"/>
          <w:color w:val="E67E22"/>
          <w:sz w:val="20"/>
          <w:szCs w:val="20"/>
        </w:rPr>
        <w:t xml:space="preserve">• </w:t>
      </w:r>
      <w:r>
        <w:rPr>
          <w:rFonts w:ascii="Arial" w:cs="Arial" w:eastAsia="Arial" w:hAnsi="Arial"/>
          <w:sz w:val="20"/>
          <w:szCs w:val="20"/>
        </w:rPr>
        <w:t xml:space="preserve">Aging des arriérés avec code couleur (30/60/90 jours)</w:t>
      </w:r>
    </w:p>
    <w:p>
      <w:pPr>
        <w:spacing w:after="40"/>
        <w:ind w:left="300"/>
      </w:pPr>
      <w:r>
        <w:rPr>
          <w:rFonts w:ascii="Arial" w:cs="Arial" w:eastAsia="Arial" w:hAnsi="Arial"/>
          <w:color w:val="E67E22"/>
          <w:sz w:val="20"/>
          <w:szCs w:val="20"/>
        </w:rPr>
        <w:t xml:space="preserve">• </w:t>
      </w:r>
      <w:r>
        <w:rPr>
          <w:rFonts w:ascii="Arial" w:cs="Arial" w:eastAsia="Arial" w:hAnsi="Arial"/>
          <w:sz w:val="20"/>
          <w:szCs w:val="20"/>
        </w:rPr>
        <w:t xml:space="preserve">Types de causes droit familial + formulaires TUF</w:t>
      </w:r>
    </w:p>
    <w:p>
      <w:pPr>
        <w:spacing w:before="200" w:after="80"/>
      </w:pPr>
      <w:r>
        <w:rPr>
          <w:rFonts w:ascii="Arial" w:cs="Arial" w:eastAsia="Arial" w:hAnsi="Arial"/>
          <w:b/>
          <w:bCs/>
          <w:color w:val="1E3A5F"/>
          <w:sz w:val="24"/>
          <w:szCs w:val="24"/>
        </w:rPr>
        <w:t xml:space="preserve">Phase 3 — Agents IA entraînés Barreau (Sem. 7-12)</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Injection textes réglementaires dans les system prompts des agents</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Interface conversationnelle (sidebar chat)</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Agent Finance : saisie temps + facturation assistée + audit fidéicommis</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Agent Assistant Juridique : classement documents + checklist + alertes</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Model routing (Haiku/Sonnet/Opus) + semantic caching pgvector</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Logging complet de chaque action IA (traçabilité Guide IA Barreau)</w:t>
      </w:r>
    </w:p>
    <w:p>
      <w:pPr>
        <w:spacing w:after="40"/>
        <w:ind w:left="300"/>
      </w:pPr>
      <w:r>
        <w:rPr>
          <w:rFonts w:ascii="Arial" w:cs="Arial" w:eastAsia="Arial" w:hAnsi="Arial"/>
          <w:color w:val="1E3A5F"/>
          <w:sz w:val="20"/>
          <w:szCs w:val="20"/>
        </w:rPr>
        <w:t xml:space="preserve">• </w:t>
      </w:r>
      <w:r>
        <w:rPr>
          <w:rFonts w:ascii="Arial" w:cs="Arial" w:eastAsia="Arial" w:hAnsi="Arial"/>
          <w:sz w:val="20"/>
          <w:szCs w:val="20"/>
        </w:rPr>
        <w:t xml:space="preserve">Personnalisation agents (nom, avatar, niveaux d'autonomie)</w:t>
      </w:r>
    </w:p>
    <w:p>
      <w:pPr>
        <w:spacing w:before="200" w:after="80"/>
      </w:pPr>
      <w:r>
        <w:rPr>
          <w:rFonts w:ascii="Arial" w:cs="Arial" w:eastAsia="Arial" w:hAnsi="Arial"/>
          <w:b/>
          <w:bCs/>
          <w:color w:val="27AE60"/>
          <w:sz w:val="24"/>
          <w:szCs w:val="24"/>
        </w:rPr>
        <w:t xml:space="preserve">Phase 4 — Portails + Intégrations (Sem. 13-16)</w:t>
      </w:r>
    </w:p>
    <w:p>
      <w:pPr>
        <w:spacing w:after="40"/>
        <w:ind w:left="300"/>
      </w:pPr>
      <w:r>
        <w:rPr>
          <w:rFonts w:ascii="Arial" w:cs="Arial" w:eastAsia="Arial" w:hAnsi="Arial"/>
          <w:color w:val="27AE60"/>
          <w:sz w:val="20"/>
          <w:szCs w:val="20"/>
        </w:rPr>
        <w:t xml:space="preserve">• </w:t>
      </w:r>
      <w:r>
        <w:rPr>
          <w:rFonts w:ascii="Arial" w:cs="Arial" w:eastAsia="Arial" w:hAnsi="Arial"/>
          <w:sz w:val="20"/>
          <w:szCs w:val="20"/>
        </w:rPr>
        <w:t xml:space="preserve">Stripe (paiements en ligne + portail facturation)</w:t>
      </w:r>
    </w:p>
    <w:p>
      <w:pPr>
        <w:spacing w:after="40"/>
        <w:ind w:left="300"/>
      </w:pPr>
      <w:r>
        <w:rPr>
          <w:rFonts w:ascii="Arial" w:cs="Arial" w:eastAsia="Arial" w:hAnsi="Arial"/>
          <w:color w:val="27AE60"/>
          <w:sz w:val="20"/>
          <w:szCs w:val="20"/>
        </w:rPr>
        <w:t xml:space="preserve">• </w:t>
      </w:r>
      <w:r>
        <w:rPr>
          <w:rFonts w:ascii="Arial" w:cs="Arial" w:eastAsia="Arial" w:hAnsi="Arial"/>
          <w:sz w:val="20"/>
          <w:szCs w:val="20"/>
        </w:rPr>
        <w:t xml:space="preserve">Envoi automatique de factures par courriel (Resend)</w:t>
      </w:r>
    </w:p>
    <w:p>
      <w:pPr>
        <w:spacing w:after="40"/>
        <w:ind w:left="300"/>
      </w:pPr>
      <w:r>
        <w:rPr>
          <w:rFonts w:ascii="Arial" w:cs="Arial" w:eastAsia="Arial" w:hAnsi="Arial"/>
          <w:color w:val="27AE60"/>
          <w:sz w:val="20"/>
          <w:szCs w:val="20"/>
        </w:rPr>
        <w:t xml:space="preserve">• </w:t>
      </w:r>
      <w:r>
        <w:rPr>
          <w:rFonts w:ascii="Arial" w:cs="Arial" w:eastAsia="Arial" w:hAnsi="Arial"/>
          <w:sz w:val="20"/>
          <w:szCs w:val="20"/>
        </w:rPr>
        <w:t xml:space="preserve">Portail client (statut dossier, factures, messages sécurisés)</w:t>
      </w:r>
    </w:p>
    <w:p>
      <w:pPr>
        <w:spacing w:after="40"/>
        <w:ind w:left="300"/>
      </w:pPr>
      <w:r>
        <w:rPr>
          <w:rFonts w:ascii="Arial" w:cs="Arial" w:eastAsia="Arial" w:hAnsi="Arial"/>
          <w:color w:val="27AE60"/>
          <w:sz w:val="20"/>
          <w:szCs w:val="20"/>
        </w:rPr>
        <w:t xml:space="preserve">• </w:t>
      </w:r>
      <w:r>
        <w:rPr>
          <w:rFonts w:ascii="Arial" w:cs="Arial" w:eastAsia="Arial" w:hAnsi="Arial"/>
          <w:sz w:val="20"/>
          <w:szCs w:val="20"/>
        </w:rPr>
        <w:t xml:space="preserve">Agent Finance : rapports Barreau automatisés + rappel T3</w:t>
      </w:r>
    </w:p>
    <w:p>
      <w:pPr>
        <w:spacing w:before="200" w:after="80"/>
      </w:pPr>
      <w:r>
        <w:rPr>
          <w:rFonts w:ascii="Arial" w:cs="Arial" w:eastAsia="Arial" w:hAnsi="Arial"/>
          <w:b/>
          <w:bCs/>
          <w:color w:val="534AB7"/>
          <w:sz w:val="24"/>
          <w:szCs w:val="24"/>
        </w:rPr>
        <w:t xml:space="preserve">Phase 5 — Lancement (Sem. 17-20)</w:t>
      </w:r>
    </w:p>
    <w:p>
      <w:pPr>
        <w:spacing w:after="40"/>
        <w:ind w:left="300"/>
      </w:pPr>
      <w:r>
        <w:rPr>
          <w:rFonts w:ascii="Arial" w:cs="Arial" w:eastAsia="Arial" w:hAnsi="Arial"/>
          <w:color w:val="534AB7"/>
          <w:sz w:val="20"/>
          <w:szCs w:val="20"/>
        </w:rPr>
        <w:t xml:space="preserve">• </w:t>
      </w:r>
      <w:r>
        <w:rPr>
          <w:rFonts w:ascii="Arial" w:cs="Arial" w:eastAsia="Arial" w:hAnsi="Arial"/>
          <w:sz w:val="20"/>
          <w:szCs w:val="20"/>
        </w:rPr>
        <w:t xml:space="preserve">Landing page avec storytelling (legal-saas-taste skill)</w:t>
      </w:r>
    </w:p>
    <w:p>
      <w:pPr>
        <w:spacing w:after="40"/>
        <w:ind w:left="300"/>
      </w:pPr>
      <w:r>
        <w:rPr>
          <w:rFonts w:ascii="Arial" w:cs="Arial" w:eastAsia="Arial" w:hAnsi="Arial"/>
          <w:color w:val="534AB7"/>
          <w:sz w:val="20"/>
          <w:szCs w:val="20"/>
        </w:rPr>
        <w:t xml:space="preserve">• </w:t>
      </w:r>
      <w:r>
        <w:rPr>
          <w:rFonts w:ascii="Arial" w:cs="Arial" w:eastAsia="Arial" w:hAnsi="Arial"/>
          <w:sz w:val="20"/>
          <w:szCs w:val="20"/>
        </w:rPr>
        <w:t xml:space="preserve">Onboarding personnalisable par cabinet</w:t>
      </w:r>
    </w:p>
    <w:p>
      <w:pPr>
        <w:spacing w:after="40"/>
        <w:ind w:left="300"/>
      </w:pPr>
      <w:r>
        <w:rPr>
          <w:rFonts w:ascii="Arial" w:cs="Arial" w:eastAsia="Arial" w:hAnsi="Arial"/>
          <w:color w:val="534AB7"/>
          <w:sz w:val="20"/>
          <w:szCs w:val="20"/>
        </w:rPr>
        <w:t xml:space="preserve">• </w:t>
      </w:r>
      <w:r>
        <w:rPr>
          <w:rFonts w:ascii="Arial" w:cs="Arial" w:eastAsia="Arial" w:hAnsi="Arial"/>
          <w:sz w:val="20"/>
          <w:szCs w:val="20"/>
        </w:rPr>
        <w:t xml:space="preserve">Tests beta avec 3-5 cabinets + conformité Loi 25 complète</w:t>
      </w:r>
    </w:p>
    <w:p>
      <w:pPr>
        <w:spacing w:after="40"/>
        <w:ind w:left="300"/>
      </w:pPr>
      <w:r>
        <w:rPr>
          <w:rFonts w:ascii="Arial" w:cs="Arial" w:eastAsia="Arial" w:hAnsi="Arial"/>
          <w:color w:val="534AB7"/>
          <w:sz w:val="20"/>
          <w:szCs w:val="20"/>
        </w:rPr>
        <w:t xml:space="preserve">• </w:t>
      </w:r>
      <w:r>
        <w:rPr>
          <w:rFonts w:ascii="Arial" w:cs="Arial" w:eastAsia="Arial" w:hAnsi="Arial"/>
          <w:sz w:val="20"/>
          <w:szCs w:val="20"/>
        </w:rPr>
        <w:t xml:space="preserve">Documentation + support</w:t>
      </w:r>
    </w:p>
    <w:p>
      <w:pPr>
        <w:spacing w:after="40"/>
        <w:ind w:left="300"/>
      </w:pPr>
      <w:r>
        <w:rPr>
          <w:rFonts w:ascii="Arial" w:cs="Arial" w:eastAsia="Arial" w:hAnsi="Arial"/>
          <w:color w:val="534AB7"/>
          <w:sz w:val="20"/>
          <w:szCs w:val="20"/>
        </w:rPr>
        <w:t xml:space="preserve">• </w:t>
      </w:r>
      <w:r>
        <w:rPr>
          <w:rFonts w:ascii="Arial" w:cs="Arial" w:eastAsia="Arial" w:hAnsi="Arial"/>
          <w:sz w:val="20"/>
          <w:szCs w:val="20"/>
        </w:rPr>
        <w:t xml:space="preserve">Premiers clients payants</w:t>
      </w:r>
    </w:p>
    <w:p>
      <w:r>
        <w:br w:type="page"/>
      </w:r>
    </w:p>
    <w:p>
      <w:pPr>
        <w:pStyle w:val="Heading1"/>
      </w:pPr>
      <w:r>
        <w:t xml:space="preserve">9. Risques et mitigations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Risque</w:t>
            </w:r>
          </w:p>
        </w:tc>
        <w:tc>
          <w:tcPr>
            <w:tcW w:type="dxa" w:w="140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5360"/>
            <w:tcBorders>
              <w:top w:val="single" w:color="D0D0D0" w:sz="1"/>
              <w:left w:val="single" w:color="D0D0D0" w:sz="1"/>
              <w:bottom w:val="single" w:color="D0D0D0" w:sz="1"/>
              <w:right w:val="single" w:color="D0D0D0"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Non-conformité fidéicommis</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Élevé</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Agent Finance en surveillance, validation humaine obligatoire, audit logs, tests E2E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Non-conformité Loi 25</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Élevé (25M$)</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Chiffrement, hébergement Canada, EFVP, registre incidents</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Utilisation non conforme de l'IA</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Élevé</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Agents entraînés Barreau, jamais de conseil juridique, traçabilité complète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Coûts Claude API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Moyen</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Caching sémantique, model routing, limites par plan</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Adoption avocats</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Moyen</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UX ultra-simple, conversation naturelle, démo beta</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Développeur solo</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Élevé</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Équipe agents IA dev, phases courtes, MVP sur base V1</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Évolution réglementaire</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Moyen</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18"/>
                <w:szCs w:val="18"/>
              </w:rPr>
              <w:t xml:space="preserve">Mise à jour des system prompts agents à chaque changement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Sécurité données</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Critique</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18"/>
                <w:szCs w:val="18"/>
              </w:rPr>
              <w:t xml:space="preserve">RLS Supabase, AES-256, audit logs, zéro accès IA direct</w:t>
            </w:r>
          </w:p>
        </w:tc>
      </w:tr>
    </w:tbl>
    <w:p>
      <w:r>
        <w:br w:type="page"/>
      </w:r>
    </w:p>
    <w:p>
      <w:pPr>
        <w:pStyle w:val="Heading1"/>
      </w:pPr>
      <w:r>
        <w:t xml:space="preserve">10. Conclusion CTO</w:t>
      </w:r>
    </w:p>
    <w:p>
      <w:pPr>
        <w:spacing w:after="40"/>
      </w:pPr>
    </w:p>
    <w:p>
      <w:pPr>
        <w:spacing w:after="120"/>
      </w:pPr>
      <w:r>
        <w:rPr>
          <w:rFonts w:ascii="Arial" w:cs="Arial" w:eastAsia="Arial" w:hAnsi="Arial"/>
          <w:sz w:val="22"/>
          <w:szCs w:val="22"/>
        </w:rPr>
        <w:t xml:space="preserve">SAFE v3.0 n'est plus juste un SaaS de gestion pour avocats. C'est le premier logiciel de practice management au Québec dont les agents IA sont entraînés sur les textes réglementaires du Barreau. Ce n'est pas un détail marketing — c'est un fossé compétitif.</w:t>
      </w:r>
    </w:p>
    <w:p>
      <w:pPr>
        <w:spacing w:after="40"/>
      </w:pPr>
    </w:p>
    <w:p>
      <w:pPr>
        <w:spacing w:after="120"/>
      </w:pPr>
      <w:r>
        <w:rPr>
          <w:rFonts w:ascii="Arial" w:cs="Arial" w:eastAsia="Arial" w:hAnsi="Arial"/>
          <w:sz w:val="22"/>
          <w:szCs w:val="22"/>
        </w:rPr>
        <w:t xml:space="preserve">Les concurrents (Clio, CosmoLex, JurisEvolution) proposent des outils génériques. SAFE propose un assistant qui CONNAÎT les règles, qui ALERTE quand quelque chose ne va pas, et qui CITE l'article de loi concerné. C'est la différence entre un logiciel et un employé virtuel formé par le Barreau.</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E3A5F" w:sz="12"/>
              <w:bottom w:val="none" w:sz="0"/>
              <w:right w:val="none" w:sz="0"/>
            </w:tcBorders>
            <w:shd w:fill="FAFAFA" w:val="clear"/>
            <w:tcMar>
              <w:top w:type="dxa" w:w="120"/>
              <w:left w:type="dxa" w:w="200"/>
              <w:bottom w:type="dxa" w:w="120"/>
              <w:right w:type="dxa" w:w="160"/>
            </w:tcMar>
          </w:tcPr>
          <w:p>
            <w:pPr>
              <w:spacing w:after="40"/>
            </w:pPr>
            <w:r>
              <w:rPr>
                <w:rFonts w:ascii="Arial" w:cs="Arial" w:eastAsia="Arial" w:hAnsi="Arial"/>
                <w:b/>
                <w:bCs/>
                <w:color w:val="1E3A5F"/>
                <w:sz w:val="20"/>
                <w:szCs w:val="20"/>
              </w:rPr>
              <w:t xml:space="preserve">La V1 existe. On améliore.</w:t>
            </w:r>
          </w:p>
          <w:p>
            <w:pPr>
              <w:spacing w:after="30"/>
            </w:pPr>
            <w:r>
              <w:rPr>
                <w:rFonts w:ascii="Arial" w:cs="Arial" w:eastAsia="Arial" w:hAnsi="Arial"/>
                <w:color w:val="444444"/>
                <w:sz w:val="20"/>
                <w:szCs w:val="20"/>
              </w:rPr>
              <w:t xml:space="preserve">La base est là. Le modèle de données est solide. Le stack est le bon.</w:t>
            </w:r>
          </w:p>
          <w:p>
            <w:pPr>
              <w:spacing w:after="30"/>
            </w:pPr>
            <w:r>
              <w:rPr>
                <w:rFonts w:ascii="Arial" w:cs="Arial" w:eastAsia="Arial" w:hAnsi="Arial"/>
                <w:color w:val="444444"/>
                <w:sz w:val="20"/>
                <w:szCs w:val="20"/>
              </w:rPr>
              <w:t xml:space="preserve">La prochaine étape : Phase 1, fidéicommis + conformité.</w:t>
            </w:r>
          </w:p>
          <w:p>
            <w:pPr>
              <w:spacing w:after="30"/>
            </w:pPr>
            <w:r>
              <w:rPr>
                <w:rFonts w:ascii="Arial" w:cs="Arial" w:eastAsia="Arial" w:hAnsi="Arial"/>
                <w:color w:val="444444"/>
                <w:sz w:val="20"/>
                <w:szCs w:val="20"/>
              </w:rPr>
              <w:t xml:space="preserve">Prêt à construire.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2026-03-24T19:19:52.349Z</dcterms:created>
  <dcterms:modified xsi:type="dcterms:W3CDTF">2026-03-24T19:19:52.350Z</dcterms:modified>
</cp:coreProperties>
</file>

<file path=docProps/custom.xml><?xml version="1.0" encoding="utf-8"?>
<Properties xmlns="http://schemas.openxmlformats.org/officeDocument/2006/custom-properties" xmlns:vt="http://schemas.openxmlformats.org/officeDocument/2006/docPropsVTypes"/>
</file>