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b/>
          <w:color w:val="2E74B5"/>
          <w:sz w:val="48"/>
        </w:rPr>
        <w:t>AI Value Studio</w:t>
      </w:r>
    </w:p>
    <w:p/>
    <w:p>
      <w:pPr>
        <w:jc w:val="center"/>
      </w:pPr>
      <w:r>
        <w:rPr>
          <w:b/>
          <w:sz w:val="36"/>
        </w:rPr>
        <w:t>AMOA Use Case Implementation Plan</w:t>
      </w:r>
    </w:p>
    <w:p/>
    <w:p>
      <w:pPr>
        <w:jc w:val="center"/>
      </w:pPr>
      <w:r>
        <w:rPr>
          <w:i/>
          <w:sz w:val="32"/>
        </w:rPr>
        <w:t>AMOA Use Case Implementation Plan</w:t>
      </w:r>
    </w:p>
    <w:p>
      <w:r>
        <w:br w:type="page"/>
      </w:r>
    </w:p>
    <w:p>
      <w:pPr>
        <w:pStyle w:val="Heading1"/>
      </w:pPr>
      <w:r>
        <w:t>AMOA Use Case Implementation Plan</w:t>
      </w:r>
    </w:p>
    <w:p/>
    <w:p>
      <w:pPr>
        <w:pStyle w:val="Heading2"/>
      </w:pPr>
      <w:r>
        <w:t>Métadonnées</w:t>
      </w:r>
    </w:p>
    <w:p>
      <w:r>
        <w:t>- Date: 2026-10-04</w:t>
      </w:r>
    </w:p>
    <w:p>
      <w:r>
        <w:t>- Organisation: EnergieDemo</w:t>
      </w:r>
    </w:p>
    <w:p>
      <w:r>
        <w:t>- Programme: AI Value Studio</w:t>
      </w:r>
    </w:p>
    <w:p>
      <w:r>
        <w:t>- Département: Gestion de la Charge et de la Production</w:t>
      </w:r>
    </w:p>
    <w:p>
      <w:r>
        <w:t>- Owner: Responsable de l'Équilibrage</w:t>
      </w:r>
    </w:p>
    <w:p>
      <w:r>
        <w:t>- AI-assisted kickstart: Oui</w:t>
      </w:r>
    </w:p>
    <w:p/>
    <w:p>
      <w:pPr>
        <w:pStyle w:val="Heading2"/>
      </w:pPr>
      <w:r>
        <w:t>1) Cadrage métier</w:t>
      </w:r>
    </w:p>
    <w:p>
      <w:r>
        <w:t>- Titre du use case: Prévision de charge du réseau électrique intelligent</w:t>
      </w:r>
    </w:p>
    <w:p>
      <w:r>
        <w:t>- Problem statement: Les prévisions de charge actuelles présentent des erreurs importantes lors des variations rapides de consommation (pointes, événements météorologiques), entraînant des coûts d'équilibrage élevés et un risque de pénurie.</w:t>
      </w:r>
    </w:p>
    <w:p>
      <w:r>
        <w:t>- Solution IA proposée: Modèle de prévision de charge basé sur l'apprentissage automatique qui intègre les données historiques de consommation, les prévisions météo, les événements calendaires et les données de production renouvelable pour fournir des prévisions horaire à jour avec une précision améliorée.</w:t>
      </w:r>
    </w:p>
    <w:p>
      <w:r>
        <w:t>- Validation humaine obligatoire: Validation quotidienne des prévisions par l'opérateur de réseau avant envoi aux producteurs</w:t>
      </w:r>
    </w:p>
    <w:p/>
    <w:p>
      <w:pPr>
        <w:pStyle w:val="Heading2"/>
      </w:pPr>
      <w:r>
        <w:t>2) Valeur business estimée</w:t>
      </w:r>
    </w:p>
    <w:p>
      <w:r>
        <w:t>- Annual Time Value: 109500.0</w:t>
      </w:r>
    </w:p>
    <w:p>
      <w:r>
        <w:t>- Error Avoidance Value: 91250.0</w:t>
      </w:r>
    </w:p>
    <w:p>
      <w:r>
        <w:t>- Estimated Gross Value: 200750.0</w:t>
      </w:r>
    </w:p>
    <w:p>
      <w:r>
        <w:t>- Estimated Net Value: 80750.0</w:t>
      </w:r>
    </w:p>
    <w:p>
      <w:r>
        <w:t>- Priority Score: 3.95</w:t>
      </w:r>
    </w:p>
    <w:p>
      <w:r>
        <w:t>- Catégorie portefeuille: Defer</w:t>
      </w:r>
    </w:p>
    <w:p/>
    <w:p>
      <w:pPr>
        <w:pStyle w:val="Heading2"/>
      </w:pPr>
      <w:r>
        <w:t>3) KPI de pilotage</w:t>
      </w:r>
    </w:p>
    <w:p>
      <w:r>
        <w:t>- Erreur moyenne absolue (MAE) de la prévision de charge</w:t>
      </w:r>
    </w:p>
    <w:p>
      <w:r>
        <w:t>- Biais de prévision</w:t>
      </w:r>
    </w:p>
    <w:p>
      <w:r>
        <w:t>- Coût d'équilibrage</w:t>
      </w:r>
    </w:p>
    <w:p>
      <w:r>
        <w:t>- Nombre d'interventions correctives</w:t>
      </w:r>
    </w:p>
    <w:p/>
    <w:p>
      <w:pPr>
        <w:pStyle w:val="Heading2"/>
      </w:pPr>
      <w:r>
        <w:t>4) Dépendances SI et organisationnelles</w:t>
      </w:r>
    </w:p>
    <w:p>
      <w:r>
        <w:t>- Historique de consommation</w:t>
      </w:r>
    </w:p>
    <w:p>
      <w:r>
        <w:t>- Données météo prévisionnelles</w:t>
      </w:r>
    </w:p>
    <w:p>
      <w:r>
        <w:t>- Données de production renouvelable</w:t>
      </w:r>
    </w:p>
    <w:p>
      <w:r>
        <w:t>- Plateforme de prévision</w:t>
      </w:r>
    </w:p>
    <w:p/>
    <w:p>
      <w:pPr>
        <w:pStyle w:val="Heading2"/>
      </w:pPr>
      <w:r>
        <w:t>5) Gouvernance &amp; risques</w:t>
      </w:r>
    </w:p>
    <w:p>
      <w:r>
        <w:t>- Détérioration de la précision en cas de changement soudain de comportement de consommation</w:t>
      </w:r>
    </w:p>
    <w:p>
      <w:r>
        <w:t>- Biais liés aux données historiques</w:t>
      </w:r>
    </w:p>
    <w:p>
      <w:r>
        <w:t>- Intégration avec les systèmes SCADA et EMS existants</w:t>
      </w:r>
    </w:p>
    <w:p/>
    <w:p>
      <w:pPr>
        <w:pStyle w:val="Heading2"/>
      </w:pPr>
      <w:r>
        <w:t>6) Plan de mise en place</w:t>
      </w:r>
    </w:p>
    <w:p>
      <w:pPr>
        <w:pStyle w:val="Heading3"/>
      </w:pPr>
      <w:r>
        <w:t>Phase 1 — Discovery &amp; Design (Semaines 1-2)</w:t>
      </w:r>
    </w:p>
    <w:p>
      <w:r>
        <w:t>- Valider les hypothèses et le périmètre</w:t>
      </w:r>
    </w:p>
    <w:p>
      <w:r>
        <w:t>- Cartographier données + règles métier</w:t>
      </w:r>
    </w:p>
    <w:p>
      <w:r>
        <w:t>- Définir protocole human-in-the-loop</w:t>
      </w:r>
    </w:p>
    <w:p/>
    <w:p>
      <w:pPr>
        <w:pStyle w:val="Heading3"/>
      </w:pPr>
      <w:r>
        <w:t>Phase 2 — Pilot Build (Semaines 3-6)</w:t>
      </w:r>
    </w:p>
    <w:p>
      <w:r>
        <w:t>- Implémenter flux IA assisté</w:t>
      </w:r>
    </w:p>
    <w:p>
      <w:r>
        <w:t>- Tester qualité, sécurité, conformité</w:t>
      </w:r>
    </w:p>
    <w:p>
      <w:r>
        <w:t>- Former utilisateurs pilotes</w:t>
      </w:r>
    </w:p>
    <w:p/>
    <w:p>
      <w:pPr>
        <w:pStyle w:val="Heading3"/>
      </w:pPr>
      <w:r>
        <w:t>Phase 3 — Go/No-Go &amp; Scale (Semaines 7-8)</w:t>
      </w:r>
    </w:p>
    <w:p>
      <w:r>
        <w:t>- Mesurer KPI cibles vs baseline</w:t>
      </w:r>
    </w:p>
    <w:p>
      <w:r>
        <w:t>- Décider Go/Defer/Reject</w:t>
      </w:r>
    </w:p>
    <w:p>
      <w:r>
        <w:t>- Préparer feuille de route d'industrialisation</w:t>
      </w:r>
    </w:p>
    <w:p/>
    <w:p>
      <w:pPr>
        <w:pStyle w:val="Heading2"/>
      </w:pPr>
      <w:r>
        <w:t>7) Décision et validation</w:t>
      </w:r>
    </w:p>
    <w:p>
      <w:r>
        <w:t>- Sponsor décision: __________________</w:t>
      </w:r>
    </w:p>
    <w:p>
      <w:r>
        <w:t>- Décision: Go / Pilot / Defer / Reject</w:t>
      </w:r>
    </w:p>
    <w:p>
      <w:r>
        <w:t>- Date de revue: 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1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b/>
      <w:color w:val="2E74B5"/>
      <w:sz w:val="1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b/>
      <w:i/>
      <w:iCs/>
      <w:color w:val="2E74B5"/>
      <w:sz w:val="1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b/>
      <w:i/>
      <w:iCs/>
      <w:color w:val="2E74B5"/>
      <w:sz w:val="7"/>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b/>
      <w:color w:val="2E74B5"/>
      <w:sz w:val="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b/>
      <w:i/>
      <w:iCs/>
      <w:color w:val="2E74B5"/>
      <w:sz w:val="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