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b/>
          <w:color w:val="2E74B5"/>
          <w:sz w:val="48"/>
        </w:rPr>
        <w:t>AI Value Studio</w:t>
      </w:r>
    </w:p>
    <w:p/>
    <w:p>
      <w:pPr>
        <w:jc w:val="center"/>
      </w:pPr>
      <w:r>
        <w:rPr>
          <w:b/>
          <w:sz w:val="36"/>
        </w:rPr>
        <w:t>AMOA Use Case Implementation Plan</w:t>
      </w:r>
    </w:p>
    <w:p/>
    <w:p>
      <w:pPr>
        <w:jc w:val="center"/>
      </w:pPr>
      <w:r>
        <w:rPr>
          <w:i/>
          <w:sz w:val="32"/>
        </w:rPr>
        <w:t>AMOA Use Case Implementation Plan</w:t>
      </w:r>
    </w:p>
    <w:p>
      <w:r>
        <w:br w:type="page"/>
      </w:r>
    </w:p>
    <w:p>
      <w:pPr>
        <w:pStyle w:val="Heading1"/>
      </w:pPr>
      <w:r>
        <w:t>AMOA Use Case Implementation Plan</w:t>
      </w:r>
    </w:p>
    <w:p/>
    <w:p>
      <w:pPr>
        <w:pStyle w:val="Heading2"/>
      </w:pPr>
      <w:r>
        <w:t>Métadonnées</w:t>
      </w:r>
    </w:p>
    <w:p>
      <w:r>
        <w:t>- Date: 2026-10-04</w:t>
      </w:r>
    </w:p>
    <w:p>
      <w:r>
        <w:t>- Organisation: IndustrieDemo</w:t>
      </w:r>
    </w:p>
    <w:p>
      <w:r>
        <w:t>- Programme: AI Value Studio</w:t>
      </w:r>
    </w:p>
    <w:p>
      <w:r>
        <w:t>- Département: Maintenance et Fiabilité</w:t>
      </w:r>
    </w:p>
    <w:p>
      <w:r>
        <w:t>- Owner: Responsable Maintenance</w:t>
      </w:r>
    </w:p>
    <w:p>
      <w:r>
        <w:t>- AI-assisted kickstart: Oui</w:t>
      </w:r>
    </w:p>
    <w:p/>
    <w:p>
      <w:pPr>
        <w:pStyle w:val="Heading2"/>
      </w:pPr>
      <w:r>
        <w:t>1) Cadrage métier</w:t>
      </w:r>
    </w:p>
    <w:p>
      <w:r>
        <w:t>- Titre du use case: Maintenance prédictive par IA</w:t>
      </w:r>
    </w:p>
    <w:p>
      <w:r>
        <w:t>- Problem statement: Les pannes non planifiées des machines critiques entraînent des pertes de production importantes et des coûts de réparation élevés.</w:t>
      </w:r>
    </w:p>
    <w:p>
      <w:r>
        <w:t>- Solution IA proposée: Solution d'analyse des signaux de capteurs en temps réel avec modèles d'apprentissage automatique pour prédire les défaillances avant qu'elles ne surviennent, en déclenchant des interventions de maintenance ciblées.</w:t>
      </w:r>
    </w:p>
    <w:p>
      <w:r>
        <w:t>- Validation humaine obligatoire: Validation quotidienne des alertes par un technicien de maintenance avant intervention</w:t>
      </w:r>
    </w:p>
    <w:p/>
    <w:p>
      <w:pPr>
        <w:pStyle w:val="Heading2"/>
      </w:pPr>
      <w:r>
        <w:t>2) Valeur business estimée</w:t>
      </w:r>
    </w:p>
    <w:p>
      <w:r>
        <w:t>- Annual Time Value: 500000.0</w:t>
      </w:r>
    </w:p>
    <w:p>
      <w:r>
        <w:t>- Error Avoidance Value: 1000000.0</w:t>
      </w:r>
    </w:p>
    <w:p>
      <w:r>
        <w:t>- Estimated Gross Value: 1500000.0</w:t>
      </w:r>
    </w:p>
    <w:p>
      <w:r>
        <w:t>- Estimated Net Value: 1350000.0</w:t>
      </w:r>
    </w:p>
    <w:p>
      <w:r>
        <w:t>- Priority Score: 4.2</w:t>
      </w:r>
    </w:p>
    <w:p>
      <w:r>
        <w:t>- Catégorie portefeuille: Quick Win</w:t>
      </w:r>
    </w:p>
    <w:p/>
    <w:p>
      <w:pPr>
        <w:pStyle w:val="Heading2"/>
      </w:pPr>
      <w:r>
        <w:t>3) KPI de pilotage</w:t>
      </w:r>
    </w:p>
    <w:p>
      <w:r>
        <w:t>- Temps moyen entre pannes (MTBF)</w:t>
      </w:r>
    </w:p>
    <w:p>
      <w:r>
        <w:t>- Taux de disponibilité des équipements</w:t>
      </w:r>
    </w:p>
    <w:p>
      <w:r>
        <w:t>- Coût de maintenance par machine</w:t>
      </w:r>
    </w:p>
    <w:p>
      <w:r>
        <w:t>- Nombre d'interventions de maintenance préventive</w:t>
      </w:r>
    </w:p>
    <w:p/>
    <w:p>
      <w:pPr>
        <w:pStyle w:val="Heading2"/>
      </w:pPr>
      <w:r>
        <w:t>4) Dépendances SI et organisationnelles</w:t>
      </w:r>
    </w:p>
    <w:p>
      <w:r>
        <w:t>- SCADA</w:t>
      </w:r>
    </w:p>
    <w:p>
      <w:r>
        <w:t>- Historique des pannes</w:t>
      </w:r>
    </w:p>
    <w:p>
      <w:r>
        <w:t>- Plateforme d'acquisition de données temps réel</w:t>
      </w:r>
    </w:p>
    <w:p/>
    <w:p>
      <w:pPr>
        <w:pStyle w:val="Heading2"/>
      </w:pPr>
      <w:r>
        <w:t>5) Gouvernance &amp; risques</w:t>
      </w:r>
    </w:p>
    <w:p>
      <w:r>
        <w:t>- Faux positifs entraînant des maintenances inutiles</w:t>
      </w:r>
    </w:p>
    <w:p>
      <w:r>
        <w:t>- Drift des capteurs nécessitant recalibrage</w:t>
      </w:r>
    </w:p>
    <w:p>
      <w:r>
        <w:t>- Intégration avec le SCADA existant</w:t>
      </w:r>
    </w:p>
    <w:p/>
    <w:p>
      <w:pPr>
        <w:pStyle w:val="Heading2"/>
      </w:pPr>
      <w:r>
        <w:t>6) Plan de mise en place</w:t>
      </w:r>
    </w:p>
    <w:p>
      <w:pPr>
        <w:pStyle w:val="Heading3"/>
      </w:pPr>
      <w:r>
        <w:t>Phase 1 — Discovery &amp; Design (Semaines 1-2)</w:t>
      </w:r>
    </w:p>
    <w:p>
      <w:r>
        <w:t>- Valider les hypothèses et le périmètre</w:t>
      </w:r>
    </w:p>
    <w:p>
      <w:r>
        <w:t>- Cartographier données + règles métier</w:t>
      </w:r>
    </w:p>
    <w:p>
      <w:r>
        <w:t>- Définir protocole human-in-the-loop</w:t>
      </w:r>
    </w:p>
    <w:p/>
    <w:p>
      <w:pPr>
        <w:pStyle w:val="Heading3"/>
      </w:pPr>
      <w:r>
        <w:t>Phase 2 — Pilot Build (Semaines 3-6)</w:t>
      </w:r>
    </w:p>
    <w:p>
      <w:r>
        <w:t>- Implémenter flux IA assisté</w:t>
      </w:r>
    </w:p>
    <w:p>
      <w:r>
        <w:t>- Tester qualité, sécurité, conformité</w:t>
      </w:r>
    </w:p>
    <w:p>
      <w:r>
        <w:t>- Former utilisateurs pilotes</w:t>
      </w:r>
    </w:p>
    <w:p/>
    <w:p>
      <w:pPr>
        <w:pStyle w:val="Heading3"/>
      </w:pPr>
      <w:r>
        <w:t>Phase 3 — Go/No-Go &amp; Scale (Semaines 7-8)</w:t>
      </w:r>
    </w:p>
    <w:p>
      <w:r>
        <w:t>- Mesurer KPI cibles vs baseline</w:t>
      </w:r>
    </w:p>
    <w:p>
      <w:r>
        <w:t>- Décider Go/Defer/Reject</w:t>
      </w:r>
    </w:p>
    <w:p>
      <w:r>
        <w:t>- Préparer feuille de route d'industrialisation</w:t>
      </w:r>
    </w:p>
    <w:p/>
    <w:p>
      <w:pPr>
        <w:pStyle w:val="Heading2"/>
      </w:pPr>
      <w:r>
        <w:t>7) Décision et validation</w:t>
      </w:r>
    </w:p>
    <w:p>
      <w:r>
        <w:t>- Sponsor décision: __________________</w:t>
      </w:r>
    </w:p>
    <w:p>
      <w:r>
        <w:t>- Décision: Go / Pilot / Defer / Reject</w:t>
      </w:r>
    </w:p>
    <w:p>
      <w:r>
        <w:t>- Date de revue: 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2E74B5"/>
      <w:sz w:val="1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b/>
      <w:color w:val="2E74B5"/>
      <w:sz w:val="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