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5112"/>
        <w:gridCol w:w="5112"/>
      </w:tblGrid>
      <w:tr>
        <w:tc>
          <w:tcPr>
            <w:tcW w:type="dxa" w:w="691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200" w:after="80"/>
              <w:ind w:left="216"/>
            </w:pPr>
            <w:r>
              <w:rPr>
                <w:b/>
                <w:i w:val="0"/>
                <w:color w:val="FFFFFF"/>
                <w:sz w:val="44"/>
              </w:rPr>
              <w:t>DermMap</w:t>
            </w:r>
            <w:r>
              <w:rPr>
                <w:b w:val="0"/>
                <w:i w:val="0"/>
                <w:color w:val="CCF0F0"/>
                <w:sz w:val="28"/>
              </w:rPr>
              <w:t xml:space="preserve">  Pricing Strategy</w:t>
            </w:r>
          </w:p>
          <w:p>
            <w:pPr>
              <w:spacing w:before="0" w:after="200"/>
              <w:ind w:left="216"/>
            </w:pPr>
            <w:r>
              <w:rPr>
                <w:b w:val="0"/>
                <w:i/>
                <w:color w:val="AAE0E0"/>
                <w:sz w:val="18"/>
              </w:rPr>
              <w:t>Market Benchmarking &amp; Recommended Go-To-Market Pricing · March 2026</w:t>
            </w:r>
          </w:p>
        </w:tc>
        <w:tc>
          <w:tcPr>
            <w:tcW w:type="dxa" w:w="3600"/>
            <w:shd w:val="clear" w:color="auto" w:fill="003D3D"/>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200" w:after="40"/>
              <w:jc w:val="center"/>
            </w:pPr>
            <w:r>
              <w:rPr>
                <w:b/>
                <w:i w:val="0"/>
                <w:color w:val="AAE0E0"/>
                <w:sz w:val="16"/>
              </w:rPr>
              <w:t>CONFIDENTIAL</w:t>
            </w:r>
          </w:p>
          <w:p>
            <w:pPr>
              <w:spacing w:before="0" w:after="200"/>
              <w:jc w:val="center"/>
            </w:pPr>
            <w:r>
              <w:rPr>
                <w:b w:val="0"/>
                <w:i/>
                <w:color w:val="88CCCC"/>
                <w:sz w:val="16"/>
              </w:rPr>
              <w:t>Internal Use Only</w:t>
              <w:br/>
              <w:t>Companion to Competitive Analysis</w:t>
            </w:r>
          </w:p>
        </w:tc>
      </w:tr>
    </w:tbl>
    <w:p>
      <w:pPr>
        <w:spacing w:before="280" w:after="80"/>
        <w:pBdr>
          <w:bottom w:val="single" w:sz="4" w:space="1" w:color="008B8B"/>
        </w:pBdr>
      </w:pPr>
      <w:r>
        <w:rPr>
          <w:b/>
          <w:i w:val="0"/>
          <w:color w:val="00555F"/>
          <w:sz w:val="26"/>
        </w:rPr>
        <w:t>01  EXECUTIVE SUMMARY</w:t>
      </w:r>
    </w:p>
    <w:p>
      <w:pPr>
        <w:spacing w:before="40" w:after="100"/>
      </w:pPr>
      <w:r>
        <w:rPr>
          <w:b w:val="0"/>
          <w:i w:val="0"/>
          <w:color w:val="222222"/>
          <w:sz w:val="20"/>
        </w:rPr>
        <w:t>This report establishes DermMap's pricing strategy using verified competitor pricing data, healthcare SaaS market benchmarks, and ROI modelling against actual practice economics. It should be read alongside the DermMap Competitive Analysis (March 2026).</w:t>
      </w:r>
    </w:p>
    <w:p>
      <w:pPr>
        <w:spacing w:before="40" w:after="100"/>
      </w:pPr>
      <w:r>
        <w:rPr>
          <w:b w:val="0"/>
          <w:i w:val="0"/>
          <w:color w:val="222222"/>
          <w:sz w:val="20"/>
        </w:rPr>
        <w:t>The core finding: DermMap occupies a pricing category that does not yet exist in this market — a best-of-breed, exam-room documentation add-on. Buyers are not comparing DermMap to a $799/month EHR. They are comparing it to the cost of doing nothing, which carries its own quantifiable price in lost MA time and latent HIPAA exposure. Priced correctly, DermMap is one of the easiest ROI conversations in healthcare SaaS.</w:t>
      </w:r>
    </w:p>
    <w:p>
      <w:pPr>
        <w:spacing w:before="80" w:after="0"/>
      </w:pPr>
    </w:p>
    <w:tbl>
      <w:tblPr>
        <w:tblW w:type="auto" w:w="0"/>
        <w:jc w:val="left"/>
        <w:tblLayout w:type="fixed"/>
        <w:tblLook w:firstColumn="1" w:firstRow="1" w:lastColumn="0" w:lastRow="0" w:noHBand="0" w:noVBand="1" w:val="04A0"/>
      </w:tblPr>
      <w:tblGrid>
        <w:gridCol w:w="2556"/>
        <w:gridCol w:w="2556"/>
        <w:gridCol w:w="2556"/>
        <w:gridCol w:w="2556"/>
      </w:tblGrid>
      <w:tr>
        <w:tc>
          <w:tcPr>
            <w:tcW w:type="dxa" w:w="2621"/>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20"/>
              <w:jc w:val="center"/>
            </w:pPr>
            <w:r>
              <w:rPr>
                <w:b/>
                <w:i w:val="0"/>
                <w:color w:val="FFFFFF"/>
                <w:sz w:val="32"/>
              </w:rPr>
              <w:t>$799–$1,299</w:t>
            </w:r>
          </w:p>
          <w:p>
            <w:pPr>
              <w:spacing w:before="0" w:after="20"/>
              <w:jc w:val="center"/>
            </w:pPr>
            <w:r>
              <w:rPr>
                <w:b w:val="0"/>
                <w:i w:val="0"/>
                <w:color w:val="CCF0F0"/>
                <w:sz w:val="16"/>
              </w:rPr>
              <w:t>/provider/mo</w:t>
            </w:r>
          </w:p>
          <w:p>
            <w:pPr>
              <w:spacing w:before="40" w:after="140"/>
              <w:jc w:val="center"/>
            </w:pPr>
            <w:r>
              <w:rPr>
                <w:b w:val="0"/>
                <w:i/>
                <w:color w:val="AAE0E0"/>
                <w:sz w:val="15"/>
              </w:rPr>
              <w:t>ModMed EMA</w:t>
              <w:br/>
              <w:t>(market ceiling)</w:t>
            </w:r>
          </w:p>
        </w:tc>
        <w:tc>
          <w:tcPr>
            <w:tcW w:type="dxa" w:w="2621"/>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20"/>
              <w:jc w:val="center"/>
            </w:pPr>
            <w:r>
              <w:rPr>
                <w:b/>
                <w:i w:val="0"/>
                <w:color w:val="FFFFFF"/>
                <w:sz w:val="32"/>
              </w:rPr>
              <w:t>$250–$500</w:t>
            </w:r>
          </w:p>
          <w:p>
            <w:pPr>
              <w:spacing w:before="0" w:after="20"/>
              <w:jc w:val="center"/>
            </w:pPr>
            <w:r>
              <w:rPr>
                <w:b w:val="0"/>
                <w:i w:val="0"/>
                <w:color w:val="CCF0F0"/>
                <w:sz w:val="16"/>
              </w:rPr>
              <w:t>/provider/mo</w:t>
            </w:r>
          </w:p>
          <w:p>
            <w:pPr>
              <w:spacing w:before="40" w:after="140"/>
              <w:jc w:val="center"/>
            </w:pPr>
            <w:r>
              <w:rPr>
                <w:b w:val="0"/>
                <w:i/>
                <w:color w:val="AAE0E0"/>
                <w:sz w:val="15"/>
              </w:rPr>
              <w:t>Specialty EHR</w:t>
              <w:br/>
              <w:t>market average</w:t>
            </w:r>
          </w:p>
        </w:tc>
        <w:tc>
          <w:tcPr>
            <w:tcW w:type="dxa" w:w="2621"/>
            <w:shd w:val="clear" w:color="auto" w:fill="0080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20"/>
              <w:jc w:val="center"/>
            </w:pPr>
            <w:r>
              <w:rPr>
                <w:b/>
                <w:i w:val="0"/>
                <w:color w:val="FFFFFF"/>
                <w:sz w:val="32"/>
              </w:rPr>
              <w:t>10–25%</w:t>
            </w:r>
          </w:p>
          <w:p>
            <w:pPr>
              <w:spacing w:before="0" w:after="20"/>
              <w:jc w:val="center"/>
            </w:pPr>
            <w:r>
              <w:rPr>
                <w:b w:val="0"/>
                <w:i w:val="0"/>
                <w:color w:val="CCF0F0"/>
                <w:sz w:val="16"/>
              </w:rPr>
              <w:t>of EHR cost</w:t>
            </w:r>
          </w:p>
          <w:p>
            <w:pPr>
              <w:spacing w:before="40" w:after="140"/>
              <w:jc w:val="center"/>
            </w:pPr>
            <w:r>
              <w:rPr>
                <w:b w:val="0"/>
                <w:i/>
                <w:color w:val="AAE0E0"/>
                <w:sz w:val="15"/>
              </w:rPr>
              <w:t>Typical add-on</w:t>
              <w:br/>
              <w:t>willingness-to-pay</w:t>
            </w:r>
          </w:p>
        </w:tc>
        <w:tc>
          <w:tcPr>
            <w:tcW w:type="dxa" w:w="2621"/>
            <w:shd w:val="clear" w:color="auto" w:fill="00A0A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20"/>
              <w:jc w:val="center"/>
            </w:pPr>
            <w:r>
              <w:rPr>
                <w:b/>
                <w:i w:val="0"/>
                <w:color w:val="FFFFFF"/>
                <w:sz w:val="32"/>
              </w:rPr>
              <w:t>&lt; 1 week</w:t>
            </w:r>
          </w:p>
          <w:p>
            <w:pPr>
              <w:spacing w:before="0" w:after="20"/>
              <w:jc w:val="center"/>
            </w:pPr>
            <w:r>
              <w:rPr>
                <w:b w:val="0"/>
                <w:i w:val="0"/>
                <w:color w:val="CCF0F0"/>
                <w:sz w:val="16"/>
              </w:rPr>
              <w:t>payback</w:t>
            </w:r>
          </w:p>
          <w:p>
            <w:pPr>
              <w:spacing w:before="40" w:after="140"/>
              <w:jc w:val="center"/>
            </w:pPr>
            <w:r>
              <w:rPr>
                <w:b w:val="0"/>
                <w:i/>
                <w:color w:val="AAE0E0"/>
                <w:sz w:val="15"/>
              </w:rPr>
              <w:t>DermMap ROI at</w:t>
              <w:br/>
              <w:t>recommended price</w:t>
            </w:r>
          </w:p>
        </w:tc>
      </w:tr>
    </w:tbl>
    <w:p>
      <w:pPr>
        <w:spacing w:before="280" w:after="80"/>
        <w:pBdr>
          <w:bottom w:val="single" w:sz="4" w:space="1" w:color="008B8B"/>
        </w:pBdr>
      </w:pPr>
      <w:r>
        <w:rPr>
          <w:b/>
          <w:i w:val="0"/>
          <w:color w:val="00555F"/>
          <w:sz w:val="26"/>
        </w:rPr>
        <w:t>02  COMPETITOR PRICING INTELLIGENCE</w:t>
      </w:r>
    </w:p>
    <w:p>
      <w:pPr>
        <w:spacing w:before="40" w:after="100"/>
      </w:pPr>
      <w:r>
        <w:rPr>
          <w:b w:val="0"/>
          <w:i w:val="0"/>
          <w:color w:val="222222"/>
          <w:sz w:val="20"/>
        </w:rPr>
        <w:t>All figures below are drawn from published vendor pricing pages, G2/Capterra review data, and third-party software comparison platforms (ITQlick, SelectHub, Software Finder). Figures marked † are estimated from review site disclosures where vendors do not publish pricing publicly.</w:t>
      </w:r>
    </w:p>
    <w:p>
      <w:pPr>
        <w:spacing w:before="160" w:after="60"/>
      </w:pPr>
      <w:r>
        <w:rPr>
          <w:b/>
          <w:i w:val="0"/>
          <w:color w:val="00555F"/>
          <w:sz w:val="22"/>
        </w:rPr>
        <w:t>Full Dermatology EHR Platforms — Per Provider / Month</w:t>
      </w:r>
    </w:p>
    <w:p>
      <w:pPr>
        <w:spacing w:before="40" w:after="100"/>
      </w:pPr>
      <w:r>
        <w:rPr>
          <w:b w:val="0"/>
          <w:i w:val="0"/>
          <w:color w:val="222222"/>
          <w:sz w:val="20"/>
        </w:rPr>
        <w:t>These are DermMap's reference class for understanding what the market tolerates, not direct competitors. All figures are for complete EHR + practice management bundles.</w:t>
      </w:r>
    </w:p>
    <w:tbl>
      <w:tblPr>
        <w:tblW w:type="auto" w:w="0"/>
        <w:jc w:val="left"/>
        <w:tblLayout w:type="fixed"/>
        <w:tblLook w:firstColumn="1" w:firstRow="1" w:lastColumn="0" w:lastRow="0" w:noHBand="0" w:noVBand="1" w:val="04A0"/>
      </w:tblPr>
      <w:tblGrid>
        <w:gridCol w:w="2045"/>
        <w:gridCol w:w="2045"/>
        <w:gridCol w:w="2045"/>
        <w:gridCol w:w="2045"/>
        <w:gridCol w:w="2045"/>
      </w:tblGrid>
      <w:tr>
        <w:tc>
          <w:tcPr>
            <w:tcW w:type="dxa" w:w="259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15"/>
              <w:jc w:val="left"/>
            </w:pPr>
            <w:r>
              <w:rPr>
                <w:b/>
                <w:i w:val="0"/>
                <w:color w:val="FFFFFF"/>
                <w:sz w:val="18"/>
              </w:rPr>
              <w:t>Platform</w:t>
            </w:r>
          </w:p>
        </w:tc>
        <w:tc>
          <w:tcPr>
            <w:tcW w:type="dxa" w:w="180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Low</w:t>
            </w:r>
          </w:p>
        </w:tc>
        <w:tc>
          <w:tcPr>
            <w:tcW w:type="dxa" w:w="180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High</w:t>
            </w:r>
          </w:p>
        </w:tc>
        <w:tc>
          <w:tcPr>
            <w:tcW w:type="dxa" w:w="216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Annual / Provider</w:t>
            </w:r>
          </w:p>
        </w:tc>
        <w:tc>
          <w:tcPr>
            <w:tcW w:type="dxa" w:w="216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Key Caveat</w:t>
            </w:r>
          </w:p>
        </w:tc>
      </w:tr>
      <w:tr>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ModMed EMA</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$799</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$1,299</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$9,588–$15,588</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Market leader; no public pricing</w:t>
            </w:r>
          </w:p>
        </w:tc>
      </w:tr>
      <w:tr>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Nextech Dermatology</w:t>
            </w:r>
          </w:p>
        </w:tc>
        <w:tc>
          <w:tcPr>
            <w:tcW w:type="dxa" w:w="18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$600†</w:t>
            </w:r>
          </w:p>
        </w:tc>
        <w:tc>
          <w:tcPr>
            <w:tcW w:type="dxa" w:w="18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$900†</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$7,200–$10,800†</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Evergreen contracts; pricing rage in reviews</w:t>
            </w:r>
          </w:p>
        </w:tc>
      </w:tr>
      <w:tr>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EZDERM</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$399</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$500</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$4,788–$6,000</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 $5K–$50K implementation fee</w:t>
            </w:r>
          </w:p>
        </w:tc>
      </w:tr>
      <w:tr>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DrChrono</w:t>
            </w:r>
          </w:p>
        </w:tc>
        <w:tc>
          <w:tcPr>
            <w:tcW w:type="dxa" w:w="18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$199</w:t>
            </w:r>
          </w:p>
        </w:tc>
        <w:tc>
          <w:tcPr>
            <w:tcW w:type="dxa" w:w="18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$600</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$2,388–$7,200</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Most accessible full-EHR option</w:t>
            </w:r>
          </w:p>
        </w:tc>
      </w:tr>
      <w:tr>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Althea Smart EHR</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$295</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$795</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$3,540–$9,540</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Tiered feature gating</w:t>
            </w:r>
          </w:p>
        </w:tc>
      </w:tr>
      <w:tr>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eClinicalWorks</w:t>
            </w:r>
          </w:p>
        </w:tc>
        <w:tc>
          <w:tcPr>
            <w:tcW w:type="dxa" w:w="18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$449</w:t>
            </w:r>
          </w:p>
        </w:tc>
        <w:tc>
          <w:tcPr>
            <w:tcW w:type="dxa" w:w="18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$599</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$5,388–$7,188</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EHR-only vs. EHR+PM tiers</w:t>
            </w:r>
          </w:p>
        </w:tc>
      </w:tr>
      <w:tr>
        <w:tc>
          <w:tcPr>
            <w:tcW w:type="dxa" w:w="2592"/>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Market Average</w:t>
            </w:r>
          </w:p>
        </w:tc>
        <w:tc>
          <w:tcPr>
            <w:tcW w:type="dxa" w:w="1800"/>
            <w:shd w:val="clear" w:color="auto" w:fill="E8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$250</w:t>
            </w:r>
          </w:p>
        </w:tc>
        <w:tc>
          <w:tcPr>
            <w:tcW w:type="dxa" w:w="1800"/>
            <w:shd w:val="clear" w:color="auto" w:fill="E8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$500</w:t>
            </w:r>
          </w:p>
        </w:tc>
        <w:tc>
          <w:tcPr>
            <w:tcW w:type="dxa" w:w="2160"/>
            <w:shd w:val="clear" w:color="auto" w:fill="E8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$3,000–$6,000</w:t>
            </w:r>
          </w:p>
        </w:tc>
        <w:tc>
          <w:tcPr>
            <w:tcW w:type="dxa" w:w="2160"/>
            <w:shd w:val="clear" w:color="auto" w:fill="E8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Specialty EHR benchmark range</w:t>
            </w:r>
          </w:p>
        </w:tc>
      </w:tr>
    </w:tbl>
    <w:p>
      <w:pPr>
        <w:spacing w:before="160" w:after="0"/>
      </w:pPr>
    </w:p>
    <w:p>
      <w:pPr>
        <w:spacing w:before="160" w:after="60"/>
      </w:pPr>
      <w:r>
        <w:rPr>
          <w:b/>
          <w:i w:val="0"/>
          <w:color w:val="00555F"/>
          <w:sz w:val="22"/>
        </w:rPr>
        <w:t>Imaging / Add-On Tools — Practice-Wide / Month</w:t>
      </w:r>
    </w:p>
    <w:p>
      <w:pPr>
        <w:spacing w:before="40" w:after="100"/>
      </w:pPr>
      <w:r>
        <w:rPr>
          <w:b w:val="0"/>
          <w:i w:val="0"/>
          <w:color w:val="222222"/>
          <w:sz w:val="20"/>
        </w:rPr>
        <w:t>These are closer comparators — standalone tools used alongside an existing EHR rather than replacing it. This is the pricing category DermMap belongs in.</w:t>
      </w:r>
    </w:p>
    <w:tbl>
      <w:tblPr>
        <w:tblW w:type="auto" w:w="0"/>
        <w:jc w:val="left"/>
        <w:tblLayout w:type="fixed"/>
        <w:tblLook w:firstColumn="1" w:firstRow="1" w:lastColumn="0" w:lastRow="0" w:noHBand="0" w:noVBand="1" w:val="04A0"/>
      </w:tblPr>
      <w:tblGrid>
        <w:gridCol w:w="2045"/>
        <w:gridCol w:w="2045"/>
        <w:gridCol w:w="2045"/>
        <w:gridCol w:w="2045"/>
        <w:gridCol w:w="2045"/>
      </w:tblGrid>
      <w:tr>
        <w:tc>
          <w:tcPr>
            <w:tcW w:type="dxa" w:w="2592"/>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15"/>
              <w:jc w:val="left"/>
            </w:pPr>
            <w:r>
              <w:rPr>
                <w:b/>
                <w:i w:val="0"/>
                <w:color w:val="FFFFFF"/>
                <w:sz w:val="18"/>
              </w:rPr>
              <w:t>Platform</w:t>
            </w:r>
          </w:p>
        </w:tc>
        <w:tc>
          <w:tcPr>
            <w:tcW w:type="dxa" w:w="1800"/>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Low</w:t>
            </w:r>
          </w:p>
        </w:tc>
        <w:tc>
          <w:tcPr>
            <w:tcW w:type="dxa" w:w="1800"/>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High</w:t>
            </w:r>
          </w:p>
        </w:tc>
        <w:tc>
          <w:tcPr>
            <w:tcW w:type="dxa" w:w="2160"/>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Annual / Provider</w:t>
            </w:r>
          </w:p>
        </w:tc>
        <w:tc>
          <w:tcPr>
            <w:tcW w:type="dxa" w:w="2160"/>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Key Caveat</w:t>
            </w:r>
          </w:p>
        </w:tc>
      </w:tr>
      <w:tr>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DermEngine Starter†</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$99</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$99</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$1,188/practice</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Image upload only; AI features extra</w:t>
            </w:r>
          </w:p>
        </w:tc>
      </w:tr>
      <w:tr>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DermEngine Pro†</w:t>
            </w:r>
          </w:p>
        </w:tc>
        <w:tc>
          <w:tcPr>
            <w:tcW w:type="dxa" w:w="18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$299</w:t>
            </w:r>
          </w:p>
        </w:tc>
        <w:tc>
          <w:tcPr>
            <w:tcW w:type="dxa" w:w="18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$299</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$3,588/practice</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Contact sales for full AI suite pricing</w:t>
            </w:r>
          </w:p>
        </w:tc>
      </w:tr>
      <w:tr>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Canfield DermaGraphix</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$50†</w:t>
            </w:r>
          </w:p>
        </w:tc>
        <w:tc>
          <w:tcPr>
            <w:tcW w:type="dxa" w:w="18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$50†</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$600/practice</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SW only; hardware $1,995–$20,000+ extra</w:t>
            </w:r>
          </w:p>
        </w:tc>
      </w:tr>
      <w:tr>
        <w:tc>
          <w:tcPr>
            <w:tcW w:type="dxa" w:w="2592"/>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Specialty add-on avg</w:t>
            </w:r>
          </w:p>
        </w:tc>
        <w:tc>
          <w:tcPr>
            <w:tcW w:type="dxa" w:w="1800"/>
            <w:shd w:val="clear" w:color="auto" w:fill="E8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$99</w:t>
            </w:r>
          </w:p>
        </w:tc>
        <w:tc>
          <w:tcPr>
            <w:tcW w:type="dxa" w:w="1800"/>
            <w:shd w:val="clear" w:color="auto" w:fill="E8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$500</w:t>
            </w:r>
          </w:p>
        </w:tc>
        <w:tc>
          <w:tcPr>
            <w:tcW w:type="dxa" w:w="2160"/>
            <w:shd w:val="clear" w:color="auto" w:fill="E8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$1,188–$6,000</w:t>
            </w:r>
          </w:p>
        </w:tc>
        <w:tc>
          <w:tcPr>
            <w:tcW w:type="dxa" w:w="2160"/>
            <w:shd w:val="clear" w:color="auto" w:fill="E8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Cross-specialty benchmark for add-on tools</w:t>
            </w:r>
          </w:p>
        </w:tc>
      </w:tr>
    </w:tbl>
    <w:p>
      <w:pPr>
        <w:spacing w:before="160" w:after="0"/>
      </w:pPr>
    </w:p>
    <w:p>
      <w:pPr>
        <w:spacing w:before="0" w:after="80"/>
      </w:pPr>
      <w:r>
        <w:rPr>
          <w:b/>
          <w:i w:val="0"/>
          <w:color w:val="555555"/>
          <w:sz w:val="18"/>
        </w:rPr>
        <w:t xml:space="preserve">† </w:t>
      </w:r>
      <w:r>
        <w:rPr>
          <w:b w:val="0"/>
          <w:i/>
          <w:color w:val="555555"/>
          <w:sz w:val="18"/>
        </w:rPr>
        <w:t>Estimated from review site disclosures and third-party comparison platforms. Not confirmed by vendor.</w:t>
      </w:r>
    </w:p>
    <w:p>
      <w:pPr>
        <w:spacing w:before="280" w:after="80"/>
        <w:pBdr>
          <w:bottom w:val="single" w:sz="4" w:space="1" w:color="008B8B"/>
        </w:pBdr>
      </w:pPr>
      <w:r>
        <w:rPr>
          <w:b/>
          <w:i w:val="0"/>
          <w:color w:val="00555F"/>
          <w:sz w:val="26"/>
        </w:rPr>
        <w:t>03  PRICING CATEGORY &amp; WILLINGNESS-TO-PAY ANALYSIS</w:t>
      </w:r>
    </w:p>
    <w:p>
      <w:pPr>
        <w:spacing w:before="40" w:after="100"/>
      </w:pPr>
      <w:r>
        <w:rPr>
          <w:b w:val="0"/>
          <w:i w:val="0"/>
          <w:color w:val="222222"/>
          <w:sz w:val="20"/>
        </w:rPr>
        <w:t>The most important pricing insight for DermMap is category placement. Buyers evaluate price relative to the mental category they assign to a product. A buyer who thinks "this is an EHR" benchmarks against $600–$1,299/provider/month. A buyer who thinks "this is a documentation add-on" benchmarks against $99–$500/practice/month. DermMap must win the framing battle before the pricing conversation begins.</w:t>
      </w:r>
    </w:p>
    <w:p>
      <w:pPr>
        <w:spacing w:before="160" w:after="60"/>
      </w:pPr>
      <w:r>
        <w:rPr>
          <w:b/>
          <w:i w:val="0"/>
          <w:color w:val="00555F"/>
          <w:sz w:val="22"/>
        </w:rPr>
        <w:t>The 10–25% Add-On Rule</w:t>
      </w:r>
    </w:p>
    <w:p>
      <w:pPr>
        <w:spacing w:before="40" w:after="100"/>
      </w:pPr>
      <w:r>
        <w:rPr>
          <w:b w:val="0"/>
          <w:i w:val="0"/>
          <w:color w:val="222222"/>
          <w:sz w:val="20"/>
        </w:rPr>
        <w:t>Healthcare SaaS research consistently finds that practices allocate 10–25% of their primary software budget to best-of-breed add-on tools. Applied to the dermatology market:</w:t>
      </w:r>
    </w:p>
    <w:tbl>
      <w:tblPr>
        <w:tblW w:type="auto" w:w="0"/>
        <w:jc w:val="left"/>
        <w:tblLayout w:type="fixed"/>
        <w:tblLook w:firstColumn="1" w:firstRow="1" w:lastColumn="0" w:lastRow="0" w:noHBand="0" w:noVBand="1" w:val="04A0"/>
      </w:tblPr>
      <w:tblGrid>
        <w:gridCol w:w="2556"/>
        <w:gridCol w:w="2556"/>
        <w:gridCol w:w="2556"/>
        <w:gridCol w:w="2556"/>
      </w:tblGrid>
      <w:tr>
        <w:tc>
          <w:tcPr>
            <w:tcW w:type="dxa" w:w="2736"/>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15"/>
              <w:jc w:val="left"/>
            </w:pPr>
            <w:r>
              <w:rPr>
                <w:b/>
                <w:i w:val="0"/>
                <w:color w:val="FFFFFF"/>
                <w:sz w:val="18"/>
              </w:rPr>
              <w:t>Practice EHR</w:t>
            </w:r>
          </w:p>
        </w:tc>
        <w:tc>
          <w:tcPr>
            <w:tcW w:type="dxa" w:w="2304"/>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Monthly EHR Cost</w:t>
            </w:r>
          </w:p>
        </w:tc>
        <w:tc>
          <w:tcPr>
            <w:tcW w:type="dxa" w:w="259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10% Add-On Budget</w:t>
            </w:r>
          </w:p>
        </w:tc>
        <w:tc>
          <w:tcPr>
            <w:tcW w:type="dxa" w:w="288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25% Add-On Budget</w:t>
            </w:r>
          </w:p>
        </w:tc>
      </w:tr>
      <w:tr>
        <w:tc>
          <w:tcPr>
            <w:tcW w:type="dxa" w:w="2736"/>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Solo on ModMed</w:t>
            </w:r>
          </w:p>
        </w:tc>
        <w:tc>
          <w:tcPr>
            <w:tcW w:type="dxa" w:w="2304"/>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$799/mo</w:t>
            </w:r>
          </w:p>
        </w:tc>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$80/mo</w:t>
            </w:r>
          </w:p>
        </w:tc>
        <w:tc>
          <w:tcPr>
            <w:tcW w:type="dxa" w:w="288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$200/mo</w:t>
            </w:r>
          </w:p>
        </w:tc>
      </w:tr>
      <w:tr>
        <w:tc>
          <w:tcPr>
            <w:tcW w:type="dxa" w:w="2736"/>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2-Provider on Nextech</w:t>
            </w:r>
          </w:p>
        </w:tc>
        <w:tc>
          <w:tcPr>
            <w:tcW w:type="dxa" w:w="230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$1,200/mo</w:t>
            </w:r>
          </w:p>
        </w:tc>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$120/mo</w:t>
            </w:r>
          </w:p>
        </w:tc>
        <w:tc>
          <w:tcPr>
            <w:tcW w:type="dxa" w:w="288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$300/mo</w:t>
            </w:r>
          </w:p>
        </w:tc>
      </w:tr>
      <w:tr>
        <w:tc>
          <w:tcPr>
            <w:tcW w:type="dxa" w:w="2736"/>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5-Provider on EZDERM</w:t>
            </w:r>
          </w:p>
        </w:tc>
        <w:tc>
          <w:tcPr>
            <w:tcW w:type="dxa" w:w="2304"/>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$2,000/mo</w:t>
            </w:r>
          </w:p>
        </w:tc>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$200/mo</w:t>
            </w:r>
          </w:p>
        </w:tc>
        <w:tc>
          <w:tcPr>
            <w:tcW w:type="dxa" w:w="288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$500/mo</w:t>
            </w:r>
          </w:p>
        </w:tc>
      </w:tr>
      <w:tr>
        <w:tc>
          <w:tcPr>
            <w:tcW w:type="dxa" w:w="2736"/>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5-Provider on DrChrono</w:t>
            </w:r>
          </w:p>
        </w:tc>
        <w:tc>
          <w:tcPr>
            <w:tcW w:type="dxa" w:w="230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$1,500/mo</w:t>
            </w:r>
          </w:p>
        </w:tc>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$150/mo</w:t>
            </w:r>
          </w:p>
        </w:tc>
        <w:tc>
          <w:tcPr>
            <w:tcW w:type="dxa" w:w="288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$375/mo</w:t>
            </w:r>
          </w:p>
        </w:tc>
      </w:tr>
    </w:tbl>
    <w:p>
      <w:pPr>
        <w:spacing w:before="120" w:after="0"/>
      </w:pPr>
    </w:p>
    <w:p>
      <w:pPr>
        <w:spacing w:before="40" w:after="100"/>
      </w:pPr>
      <w:r>
        <w:rPr>
          <w:b w:val="0"/>
          <w:i w:val="0"/>
          <w:color w:val="222222"/>
          <w:sz w:val="20"/>
        </w:rPr>
        <w:t>Conclusion: a practice paying $1,200–$2,000/month for their primary EHR has a rational willingness-to-pay of $120–$500/month for a meaningful add-on. DermMap's recommended pricing sits comfortably within this range at every tier.</w:t>
      </w:r>
    </w:p>
    <w:p>
      <w:pPr>
        <w:spacing w:before="160" w:after="60"/>
      </w:pPr>
      <w:r>
        <w:rPr>
          <w:b/>
          <w:i w:val="0"/>
          <w:color w:val="00555F"/>
          <w:sz w:val="22"/>
        </w:rPr>
        <w:t>Pricing Model Options Considered</w:t>
      </w:r>
    </w:p>
    <w:p>
      <w:pPr>
        <w:spacing w:before="40" w:after="100"/>
      </w:pPr>
      <w:r>
        <w:rPr>
          <w:b w:val="0"/>
          <w:i w:val="0"/>
          <w:color w:val="222222"/>
          <w:sz w:val="20"/>
        </w:rPr>
        <w:t>Three pricing models were evaluated before arriving at the recommendation:</w:t>
      </w:r>
    </w:p>
    <w:tbl>
      <w:tblPr>
        <w:tblW w:type="auto" w:w="0"/>
        <w:jc w:val="left"/>
        <w:tblLayout w:type="fixed"/>
        <w:tblLook w:firstColumn="1" w:firstRow="1" w:lastColumn="0" w:lastRow="0" w:noHBand="0" w:noVBand="1" w:val="04A0"/>
      </w:tblPr>
      <w:tblGrid>
        <w:gridCol w:w="2556"/>
        <w:gridCol w:w="2556"/>
        <w:gridCol w:w="2556"/>
        <w:gridCol w:w="2556"/>
      </w:tblGrid>
      <w:tr>
        <w:tc>
          <w:tcPr>
            <w:tcW w:type="dxa" w:w="2448"/>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15"/>
              <w:jc w:val="left"/>
            </w:pPr>
            <w:r>
              <w:rPr>
                <w:b/>
                <w:i w:val="0"/>
                <w:color w:val="FFFFFF"/>
                <w:sz w:val="18"/>
              </w:rPr>
              <w:t>Model</w:t>
            </w:r>
          </w:p>
        </w:tc>
        <w:tc>
          <w:tcPr>
            <w:tcW w:type="dxa" w:w="259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15"/>
              <w:jc w:val="left"/>
            </w:pPr>
            <w:r>
              <w:rPr>
                <w:b/>
                <w:i w:val="0"/>
                <w:color w:val="FFFFFF"/>
                <w:sz w:val="18"/>
              </w:rPr>
              <w:t>Mechanics</w:t>
            </w:r>
          </w:p>
        </w:tc>
        <w:tc>
          <w:tcPr>
            <w:tcW w:type="dxa" w:w="259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15"/>
              <w:jc w:val="left"/>
            </w:pPr>
            <w:r>
              <w:rPr>
                <w:b/>
                <w:i w:val="0"/>
                <w:color w:val="FFFFFF"/>
                <w:sz w:val="18"/>
              </w:rPr>
              <w:t>Advantage</w:t>
            </w:r>
          </w:p>
        </w:tc>
        <w:tc>
          <w:tcPr>
            <w:tcW w:type="dxa" w:w="288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15"/>
              <w:jc w:val="left"/>
            </w:pPr>
            <w:r>
              <w:rPr>
                <w:b/>
                <w:i w:val="0"/>
                <w:color w:val="FFFFFF"/>
                <w:sz w:val="18"/>
              </w:rPr>
              <w:t>Problem</w:t>
            </w:r>
          </w:p>
        </w:tc>
      </w:tr>
      <w:tr>
        <w:tc>
          <w:tcPr>
            <w:tcW w:type="dxa" w:w="2448"/>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i w:val="0"/>
                <w:color w:val="222222"/>
                <w:sz w:val="18"/>
              </w:rPr>
              <w:t>Per-Provider / Month</w:t>
            </w:r>
          </w:p>
        </w:tc>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val="0"/>
                <w:i w:val="0"/>
                <w:color w:val="222222"/>
                <w:sz w:val="18"/>
              </w:rPr>
              <w:t>$X per physician on the license</w:t>
            </w:r>
          </w:p>
        </w:tc>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val="0"/>
                <w:i w:val="0"/>
                <w:color w:val="222222"/>
                <w:sz w:val="18"/>
              </w:rPr>
              <w:t>Familiar to EHR buyers; scales naturally with revenue</w:t>
            </w:r>
          </w:p>
        </w:tc>
        <w:tc>
          <w:tcPr>
            <w:tcW w:type="dxa" w:w="288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val="0"/>
                <w:i w:val="0"/>
                <w:color w:val="222222"/>
                <w:sz w:val="18"/>
              </w:rPr>
              <w:t>MAs are the primary users, not physicians. Creates buyer confusion. Feels punitive as a practice grows.</w:t>
            </w:r>
          </w:p>
        </w:tc>
      </w:tr>
      <w:tr>
        <w:tc>
          <w:tcPr>
            <w:tcW w:type="dxa" w:w="2448"/>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i w:val="0"/>
                <w:color w:val="222222"/>
                <w:sz w:val="18"/>
              </w:rPr>
              <w:t>Per-Visit / Per-Lesion</w:t>
            </w:r>
          </w:p>
        </w:tc>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val="0"/>
                <w:i w:val="0"/>
                <w:color w:val="222222"/>
                <w:sz w:val="18"/>
              </w:rPr>
              <w:t>$X per documented lesion or visit</w:t>
            </w:r>
          </w:p>
        </w:tc>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val="0"/>
                <w:i w:val="0"/>
                <w:color w:val="222222"/>
                <w:sz w:val="18"/>
              </w:rPr>
              <w:t>Aligns cost directly to usage</w:t>
            </w:r>
          </w:p>
        </w:tc>
        <w:tc>
          <w:tcPr>
            <w:tcW w:type="dxa" w:w="288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val="0"/>
                <w:i w:val="0"/>
                <w:color w:val="222222"/>
                <w:sz w:val="18"/>
              </w:rPr>
              <w:t>Creates anxiety at point of care. MAs second-guess documenting lesions. Undermines the speed advantage. Avoided by all scaled competitors.</w:t>
            </w:r>
          </w:p>
        </w:tc>
      </w:tr>
      <w:tr>
        <w:tc>
          <w:tcPr>
            <w:tcW w:type="dxa" w:w="2448"/>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i w:val="0"/>
                <w:color w:val="00555F"/>
                <w:sz w:val="18"/>
              </w:rPr>
              <w:t>Flat Practice Tiers ✓</w:t>
            </w:r>
          </w:p>
        </w:tc>
        <w:tc>
          <w:tcPr>
            <w:tcW w:type="dxa" w:w="2592"/>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val="0"/>
                <w:i w:val="0"/>
                <w:color w:val="222222"/>
                <w:sz w:val="18"/>
              </w:rPr>
              <w:t>Fixed monthly fee by provider-count bracket</w:t>
            </w:r>
          </w:p>
        </w:tc>
        <w:tc>
          <w:tcPr>
            <w:tcW w:type="dxa" w:w="2592"/>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val="0"/>
                <w:i w:val="0"/>
                <w:color w:val="222222"/>
                <w:sz w:val="18"/>
              </w:rPr>
              <w:t>Simple, predictable, no usage anxiety. Scales with practice size (a proxy for visit volume). Easiest to sell and explain.</w:t>
            </w:r>
          </w:p>
        </w:tc>
        <w:tc>
          <w:tcPr>
            <w:tcW w:type="dxa" w:w="2880"/>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right="72"/>
            </w:pPr>
            <w:r>
              <w:rPr>
                <w:b w:val="0"/>
                <w:i w:val="0"/>
                <w:color w:val="222222"/>
                <w:sz w:val="18"/>
              </w:rPr>
              <w:t>Slightly under-captures value at very high visit volumes — mitigated by Enterprise custom tier.</w:t>
            </w:r>
          </w:p>
        </w:tc>
      </w:tr>
    </w:tbl>
    <w:p>
      <w:pPr>
        <w:spacing w:before="280" w:after="80"/>
        <w:pBdr>
          <w:bottom w:val="single" w:sz="4" w:space="1" w:color="008B8B"/>
        </w:pBdr>
      </w:pPr>
      <w:r>
        <w:rPr>
          <w:b/>
          <w:i w:val="0"/>
          <w:color w:val="00555F"/>
          <w:sz w:val="26"/>
        </w:rPr>
        <w:t>04  RECOMMENDED PRICING STRUCTURE</w:t>
      </w:r>
    </w:p>
    <w:p>
      <w:pPr>
        <w:spacing w:before="40" w:after="100"/>
      </w:pPr>
      <w:r>
        <w:rPr>
          <w:b w:val="0"/>
          <w:i w:val="0"/>
          <w:color w:val="222222"/>
          <w:sz w:val="20"/>
        </w:rPr>
        <w:t>The recommended model is flat practice tiers priced by provider count. Provider count is used as a bracket criterion only (not a per-provider charge) because it is the strongest available proxy for patient visit volume — the true driver of DermMap value — without creating per-provider billing anxiety.</w:t>
      </w:r>
    </w:p>
    <w:tbl>
      <w:tblPr>
        <w:tblW w:type="auto" w:w="0"/>
        <w:jc w:val="left"/>
        <w:tblLayout w:type="fixed"/>
        <w:tblLook w:firstColumn="1" w:firstRow="1" w:lastColumn="0" w:lastRow="0" w:noHBand="0" w:noVBand="1" w:val="04A0"/>
      </w:tblPr>
      <w:tblGrid>
        <w:gridCol w:w="2045"/>
        <w:gridCol w:w="2045"/>
        <w:gridCol w:w="2045"/>
        <w:gridCol w:w="2045"/>
        <w:gridCol w:w="2045"/>
      </w:tblGrid>
      <w:tr>
        <w:tc>
          <w:tcPr>
            <w:tcW w:type="dxa" w:w="187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100"/>
              <w:jc w:val="center"/>
            </w:pPr>
            <w:r>
              <w:rPr>
                <w:b/>
                <w:i w:val="0"/>
                <w:color w:val="FFFFFF"/>
                <w:sz w:val="18"/>
              </w:rPr>
              <w:t>Tier</w:t>
            </w:r>
          </w:p>
        </w:tc>
        <w:tc>
          <w:tcPr>
            <w:tcW w:type="dxa" w:w="187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100"/>
              <w:jc w:val="center"/>
            </w:pPr>
            <w:r>
              <w:rPr>
                <w:b/>
                <w:i w:val="0"/>
                <w:color w:val="FFFFFF"/>
                <w:sz w:val="18"/>
              </w:rPr>
              <w:t>Practice Size</w:t>
            </w:r>
          </w:p>
        </w:tc>
        <w:tc>
          <w:tcPr>
            <w:tcW w:type="dxa" w:w="1728"/>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100"/>
              <w:jc w:val="center"/>
            </w:pPr>
            <w:r>
              <w:rPr>
                <w:b/>
                <w:i w:val="0"/>
                <w:color w:val="FFFFFF"/>
                <w:sz w:val="18"/>
              </w:rPr>
              <w:t>Monthly</w:t>
            </w:r>
          </w:p>
        </w:tc>
        <w:tc>
          <w:tcPr>
            <w:tcW w:type="dxa" w:w="1728"/>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100"/>
              <w:jc w:val="center"/>
            </w:pPr>
            <w:r>
              <w:rPr>
                <w:b/>
                <w:i w:val="0"/>
                <w:color w:val="FFFFFF"/>
                <w:sz w:val="18"/>
              </w:rPr>
              <w:t>Annual</w:t>
              <w:br/>
              <w:t>(10% off)</w:t>
            </w:r>
          </w:p>
        </w:tc>
        <w:tc>
          <w:tcPr>
            <w:tcW w:type="dxa" w:w="331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100"/>
              <w:jc w:val="center"/>
            </w:pPr>
            <w:r>
              <w:rPr>
                <w:b/>
                <w:i w:val="0"/>
                <w:color w:val="FFFFFF"/>
                <w:sz w:val="18"/>
              </w:rPr>
              <w:t>Best For</w:t>
            </w:r>
          </w:p>
        </w:tc>
      </w:tr>
      <w:tr>
        <w:tc>
          <w:tcPr>
            <w:tcW w:type="dxa" w:w="1872"/>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rPr>
              <w:t>Solo</w:t>
            </w:r>
          </w:p>
        </w:tc>
        <w:tc>
          <w:tcPr>
            <w:tcW w:type="dxa" w:w="1872"/>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val="0"/>
                <w:i w:val="0"/>
                <w:color w:val="222222"/>
                <w:sz w:val="18"/>
              </w:rPr>
              <w:t>1 provider</w:t>
            </w:r>
          </w:p>
        </w:tc>
        <w:tc>
          <w:tcPr>
            <w:tcW w:type="dxa" w:w="1728"/>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00555F"/>
                <w:sz w:val="18"/>
              </w:rPr>
              <w:t>$149/mo</w:t>
            </w:r>
          </w:p>
        </w:tc>
        <w:tc>
          <w:tcPr>
            <w:tcW w:type="dxa" w:w="1728"/>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00555F"/>
                <w:sz w:val="18"/>
              </w:rPr>
              <w:t>$1,608/yr</w:t>
            </w:r>
          </w:p>
        </w:tc>
        <w:tc>
          <w:tcPr>
            <w:tcW w:type="dxa" w:w="3312"/>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ind w:left="115"/>
              <w:jc w:val="left"/>
            </w:pPr>
            <w:r>
              <w:rPr>
                <w:b w:val="0"/>
                <w:i w:val="0"/>
                <w:color w:val="222222"/>
                <w:sz w:val="17"/>
              </w:rPr>
              <w:t>Solo dermatologists; highest pain / fastest close</w:t>
            </w:r>
          </w:p>
        </w:tc>
      </w:tr>
      <w:tr>
        <w:tc>
          <w:tcPr>
            <w:tcW w:type="dxa" w:w="1872"/>
            <w:shd w:val="clear" w:color="auto" w:fill="0080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rPr>
              <w:t>Practice</w:t>
            </w:r>
          </w:p>
        </w:tc>
        <w:tc>
          <w:tcPr>
            <w:tcW w:type="dxa" w:w="1872"/>
            <w:shd w:val="clear" w:color="auto" w:fill="EDFAF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val="0"/>
                <w:i w:val="0"/>
                <w:color w:val="222222"/>
                <w:sz w:val="18"/>
              </w:rPr>
              <w:t>2–5 providers</w:t>
            </w:r>
          </w:p>
        </w:tc>
        <w:tc>
          <w:tcPr>
            <w:tcW w:type="dxa" w:w="1728"/>
            <w:shd w:val="clear" w:color="auto" w:fill="EDFAF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00555F"/>
                <w:sz w:val="18"/>
              </w:rPr>
              <w:t>$279/mo</w:t>
            </w:r>
          </w:p>
        </w:tc>
        <w:tc>
          <w:tcPr>
            <w:tcW w:type="dxa" w:w="1728"/>
            <w:shd w:val="clear" w:color="auto" w:fill="EDFAF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00555F"/>
                <w:sz w:val="18"/>
              </w:rPr>
              <w:t>$3,012/yr</w:t>
            </w:r>
          </w:p>
        </w:tc>
        <w:tc>
          <w:tcPr>
            <w:tcW w:type="dxa" w:w="3312"/>
            <w:shd w:val="clear" w:color="auto" w:fill="EDFAF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ind w:left="115"/>
              <w:jc w:val="left"/>
            </w:pPr>
            <w:r>
              <w:rPr>
                <w:b w:val="0"/>
                <w:i w:val="0"/>
                <w:color w:val="222222"/>
                <w:sz w:val="17"/>
              </w:rPr>
              <w:t>Most independent derm clinics; the core ICP</w:t>
            </w:r>
          </w:p>
        </w:tc>
      </w:tr>
      <w:tr>
        <w:tc>
          <w:tcPr>
            <w:tcW w:type="dxa" w:w="1872"/>
            <w:shd w:val="clear" w:color="auto" w:fill="00909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rPr>
              <w:t>Group</w:t>
            </w:r>
          </w:p>
        </w:tc>
        <w:tc>
          <w:tcPr>
            <w:tcW w:type="dxa" w:w="1872"/>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val="0"/>
                <w:i w:val="0"/>
                <w:color w:val="222222"/>
                <w:sz w:val="18"/>
              </w:rPr>
              <w:t>6–15 providers</w:t>
            </w:r>
          </w:p>
        </w:tc>
        <w:tc>
          <w:tcPr>
            <w:tcW w:type="dxa" w:w="1728"/>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00555F"/>
                <w:sz w:val="18"/>
              </w:rPr>
              <w:t>$449/mo</w:t>
            </w:r>
          </w:p>
        </w:tc>
        <w:tc>
          <w:tcPr>
            <w:tcW w:type="dxa" w:w="1728"/>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00555F"/>
                <w:sz w:val="18"/>
              </w:rPr>
              <w:t>$4,860/yr</w:t>
            </w:r>
          </w:p>
        </w:tc>
        <w:tc>
          <w:tcPr>
            <w:tcW w:type="dxa" w:w="3312"/>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ind w:left="115"/>
              <w:jc w:val="left"/>
            </w:pPr>
            <w:r>
              <w:rPr>
                <w:b w:val="0"/>
                <w:i w:val="0"/>
                <w:color w:val="222222"/>
                <w:sz w:val="17"/>
              </w:rPr>
              <w:t>Multi-provider practices; involves office manager</w:t>
            </w:r>
          </w:p>
        </w:tc>
      </w:tr>
      <w:tr>
        <w:tc>
          <w:tcPr>
            <w:tcW w:type="dxa" w:w="1872"/>
            <w:shd w:val="clear" w:color="auto" w:fill="00A0A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rPr>
              <w:t>Enterprise</w:t>
            </w:r>
          </w:p>
        </w:tc>
        <w:tc>
          <w:tcPr>
            <w:tcW w:type="dxa" w:w="1872"/>
            <w:shd w:val="clear" w:color="auto" w:fill="EDFAF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val="0"/>
                <w:i w:val="0"/>
                <w:color w:val="222222"/>
                <w:sz w:val="18"/>
              </w:rPr>
              <w:t>15+ / multi-loc</w:t>
            </w:r>
          </w:p>
        </w:tc>
        <w:tc>
          <w:tcPr>
            <w:tcW w:type="dxa" w:w="1728"/>
            <w:shd w:val="clear" w:color="auto" w:fill="EDFAF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00555F"/>
                <w:sz w:val="18"/>
              </w:rPr>
              <w:t>Custom</w:t>
            </w:r>
          </w:p>
        </w:tc>
        <w:tc>
          <w:tcPr>
            <w:tcW w:type="dxa" w:w="1728"/>
            <w:shd w:val="clear" w:color="auto" w:fill="EDFAF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00555F"/>
                <w:sz w:val="18"/>
              </w:rPr>
              <w:t>Custom</w:t>
            </w:r>
          </w:p>
        </w:tc>
        <w:tc>
          <w:tcPr>
            <w:tcW w:type="dxa" w:w="3312"/>
            <w:shd w:val="clear" w:color="auto" w:fill="EDFAF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ind w:left="115"/>
              <w:jc w:val="left"/>
            </w:pPr>
            <w:r>
              <w:rPr>
                <w:b w:val="0"/>
                <w:i w:val="0"/>
                <w:color w:val="222222"/>
                <w:sz w:val="17"/>
              </w:rPr>
              <w:t>Groups, DSOs, academic centers; negotiated annually</w:t>
            </w:r>
          </w:p>
        </w:tc>
      </w:tr>
    </w:tbl>
    <w:p>
      <w:pPr>
        <w:spacing w:before="160" w:after="0"/>
      </w:pPr>
    </w:p>
    <w:p>
      <w:pPr>
        <w:spacing w:before="160" w:after="60"/>
      </w:pPr>
      <w:r>
        <w:rPr>
          <w:b/>
          <w:i w:val="0"/>
          <w:color w:val="00555F"/>
          <w:sz w:val="22"/>
        </w:rPr>
        <w:t>Contract &amp; Billing Terms</w:t>
      </w:r>
    </w:p>
    <w:p>
      <w:pPr>
        <w:spacing w:before="20" w:after="60"/>
        <w:ind w:left="360"/>
      </w:pPr>
      <w:r>
        <w:rPr>
          <w:b/>
          <w:i w:val="0"/>
          <w:color w:val="008B8B"/>
          <w:sz w:val="20"/>
        </w:rPr>
        <w:t xml:space="preserve">• </w:t>
      </w:r>
      <w:r>
        <w:rPr>
          <w:b/>
          <w:i w:val="0"/>
          <w:color w:val="222222"/>
          <w:sz w:val="20"/>
        </w:rPr>
        <w:t xml:space="preserve">Monthly billing: </w:t>
      </w:r>
      <w:r>
        <w:rPr>
          <w:b w:val="0"/>
          <w:i w:val="0"/>
          <w:color w:val="222222"/>
          <w:sz w:val="20"/>
        </w:rPr>
        <w:t>full listed price, no commitment, cancel anytime</w:t>
      </w:r>
    </w:p>
    <w:p>
      <w:pPr>
        <w:spacing w:before="20" w:after="60"/>
        <w:ind w:left="360"/>
      </w:pPr>
      <w:r>
        <w:rPr>
          <w:b/>
          <w:i w:val="0"/>
          <w:color w:val="008B8B"/>
          <w:sz w:val="20"/>
        </w:rPr>
        <w:t xml:space="preserve">• </w:t>
      </w:r>
      <w:r>
        <w:rPr>
          <w:b/>
          <w:i w:val="0"/>
          <w:color w:val="222222"/>
          <w:sz w:val="20"/>
        </w:rPr>
        <w:t xml:space="preserve">Annual billing: </w:t>
      </w:r>
      <w:r>
        <w:rPr>
          <w:b w:val="0"/>
          <w:i w:val="0"/>
          <w:color w:val="222222"/>
          <w:sz w:val="20"/>
        </w:rPr>
        <w:t>10% discount, invoiced upfront, renews automatically with 60-day notice window</w:t>
      </w:r>
    </w:p>
    <w:p>
      <w:pPr>
        <w:spacing w:before="20" w:after="60"/>
        <w:ind w:left="360"/>
      </w:pPr>
      <w:r>
        <w:rPr>
          <w:b/>
          <w:i w:val="0"/>
          <w:color w:val="008B8B"/>
          <w:sz w:val="20"/>
        </w:rPr>
        <w:t xml:space="preserve">• </w:t>
      </w:r>
      <w:r>
        <w:rPr>
          <w:b/>
          <w:i w:val="0"/>
          <w:color w:val="222222"/>
          <w:sz w:val="20"/>
        </w:rPr>
        <w:t xml:space="preserve">Two-year commitment: </w:t>
      </w:r>
      <w:r>
        <w:rPr>
          <w:b w:val="0"/>
          <w:i w:val="0"/>
          <w:color w:val="222222"/>
          <w:sz w:val="20"/>
        </w:rPr>
        <w:t>15% discount — offer selectively to practices with high switching-cost risk</w:t>
      </w:r>
    </w:p>
    <w:p>
      <w:pPr>
        <w:spacing w:before="20" w:after="60"/>
        <w:ind w:left="360"/>
      </w:pPr>
      <w:r>
        <w:rPr>
          <w:b/>
          <w:i w:val="0"/>
          <w:color w:val="008B8B"/>
          <w:sz w:val="20"/>
        </w:rPr>
        <w:t xml:space="preserve">• </w:t>
      </w:r>
      <w:r>
        <w:rPr>
          <w:b/>
          <w:i w:val="0"/>
          <w:color w:val="222222"/>
          <w:sz w:val="20"/>
        </w:rPr>
        <w:t xml:space="preserve">No implementation fee: </w:t>
      </w:r>
      <w:r>
        <w:rPr>
          <w:b w:val="0"/>
          <w:i w:val="0"/>
          <w:color w:val="222222"/>
          <w:sz w:val="20"/>
        </w:rPr>
        <w:t>DermMap is configured and live within 48 hours. Never charge for setup.</w:t>
      </w:r>
    </w:p>
    <w:p>
      <w:pPr>
        <w:spacing w:before="20" w:after="60"/>
        <w:ind w:left="360"/>
      </w:pPr>
      <w:r>
        <w:rPr>
          <w:b/>
          <w:i w:val="0"/>
          <w:color w:val="008B8B"/>
          <w:sz w:val="20"/>
        </w:rPr>
        <w:t xml:space="preserve">• </w:t>
      </w:r>
      <w:r>
        <w:rPr>
          <w:b/>
          <w:i w:val="0"/>
          <w:color w:val="222222"/>
          <w:sz w:val="20"/>
        </w:rPr>
        <w:t xml:space="preserve">No per-seat add-ons: </w:t>
      </w:r>
      <w:r>
        <w:rPr>
          <w:b w:val="0"/>
          <w:i w:val="0"/>
          <w:color w:val="222222"/>
          <w:sz w:val="20"/>
        </w:rPr>
        <w:t>unlimited MA users and admin seats within each tier. One clean price.</w:t>
      </w:r>
    </w:p>
    <w:p>
      <w:pPr>
        <w:spacing w:before="20" w:after="60"/>
        <w:ind w:left="360"/>
      </w:pPr>
      <w:r>
        <w:rPr>
          <w:b/>
          <w:i w:val="0"/>
          <w:color w:val="008B8B"/>
          <w:sz w:val="20"/>
        </w:rPr>
        <w:t xml:space="preserve">• </w:t>
      </w:r>
      <w:r>
        <w:rPr>
          <w:b/>
          <w:i w:val="0"/>
          <w:color w:val="222222"/>
          <w:sz w:val="20"/>
        </w:rPr>
        <w:t xml:space="preserve">Free trial: </w:t>
      </w:r>
      <w:r>
        <w:rPr>
          <w:b w:val="0"/>
          <w:i w:val="0"/>
          <w:color w:val="222222"/>
          <w:sz w:val="20"/>
        </w:rPr>
        <w:t>14-day full-featured trial, no credit card required. Lowers barrier for reluctant buyers.</w:t>
      </w:r>
    </w:p>
    <w:p>
      <w:pPr>
        <w:spacing w:before="120" w:after="0"/>
      </w:pPr>
    </w:p>
    <w:tbl>
      <w:tblPr>
        <w:tblW w:type="auto" w:w="0"/>
        <w:jc w:val="left"/>
        <w:tblLayout w:type="fixed"/>
        <w:tblLook w:firstColumn="1" w:firstRow="1" w:lastColumn="0" w:lastRow="0" w:noHBand="0" w:noVBand="1" w:val="04A0"/>
      </w:tblPr>
      <w:tblGrid>
        <w:gridCol w:w="5112"/>
        <w:gridCol w:w="5112"/>
      </w:tblGrid>
      <w:tr>
        <w:tc>
          <w:tcPr>
            <w:tcW w:type="dxa" w:w="1584"/>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20" w:after="120"/>
              <w:jc w:val="center"/>
            </w:pPr>
            <w:r>
              <w:rPr>
                <w:b/>
                <w:i w:val="0"/>
                <w:color w:val="FFFFFF"/>
                <w:sz w:val="18"/>
              </w:rPr>
              <w:t>PRICING RULE</w:t>
            </w:r>
          </w:p>
        </w:tc>
        <w:tc>
          <w:tcPr>
            <w:tcW w:type="dxa" w:w="8928"/>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ind w:left="144" w:right="144"/>
            </w:pPr>
            <w:r>
              <w:rPr>
                <w:b w:val="0"/>
                <w:i/>
                <w:color w:val="222222"/>
                <w:sz w:val="20"/>
              </w:rPr>
              <w:t>Discount on contract length, never on list price. Offering a 20% discount to close a deal trains every future customer to negotiate. Annual and two-year discounts are structural — they are on the pricing page, not a sales concession.</w:t>
            </w:r>
          </w:p>
        </w:tc>
      </w:tr>
    </w:tbl>
    <w:p>
      <w:pPr>
        <w:spacing w:before="280" w:after="80"/>
        <w:pBdr>
          <w:bottom w:val="single" w:sz="4" w:space="1" w:color="008B8B"/>
        </w:pBdr>
      </w:pPr>
      <w:r>
        <w:rPr>
          <w:b/>
          <w:i w:val="0"/>
          <w:color w:val="00555F"/>
          <w:sz w:val="26"/>
        </w:rPr>
        <w:t>05  RETURN ON INVESTMENT — THE SALES CONVERSATION</w:t>
      </w:r>
    </w:p>
    <w:p>
      <w:pPr>
        <w:spacing w:before="40" w:after="100"/>
      </w:pPr>
      <w:r>
        <w:rPr>
          <w:b w:val="0"/>
          <w:i w:val="0"/>
          <w:color w:val="222222"/>
          <w:sz w:val="20"/>
        </w:rPr>
        <w:t>The most powerful pricing tool is not a competitive benchmark — it is the ROI calculation. DermMap's value is highly quantifiable and should be calculated live in every sales conversation. The math consistently makes the price irrelevant.</w:t>
      </w:r>
    </w:p>
    <w:p>
      <w:pPr>
        <w:spacing w:before="160" w:after="60"/>
      </w:pPr>
      <w:r>
        <w:rPr>
          <w:b/>
          <w:i w:val="0"/>
          <w:color w:val="00555F"/>
          <w:sz w:val="22"/>
        </w:rPr>
        <w:t>Time-Savings Model</w:t>
      </w:r>
    </w:p>
    <w:p>
      <w:pPr>
        <w:spacing w:before="40" w:after="100"/>
      </w:pPr>
      <w:r>
        <w:rPr>
          <w:b w:val="0"/>
          <w:i w:val="0"/>
          <w:color w:val="222222"/>
          <w:sz w:val="20"/>
        </w:rPr>
        <w:t>Baseline: industry average for dermatology lesion documentation via EHR is 4–6 minutes per patient visit. DermMap target: under 10 seconds per lesion. Assuming an average of 2 lesions per documented visit, DermMap documentation time is approximately 20–30 seconds per visit — saving 3.5–5.5 minutes per patient.</w:t>
      </w:r>
    </w:p>
    <w:tbl>
      <w:tblPr>
        <w:tblW w:type="auto" w:w="0"/>
        <w:jc w:val="left"/>
        <w:tblLayout w:type="fixed"/>
        <w:tblLook w:firstColumn="1" w:firstRow="1" w:lastColumn="0" w:lastRow="0" w:noHBand="0" w:noVBand="1" w:val="04A0"/>
      </w:tblPr>
      <w:tblGrid>
        <w:gridCol w:w="2556"/>
        <w:gridCol w:w="2556"/>
        <w:gridCol w:w="2556"/>
        <w:gridCol w:w="2556"/>
      </w:tblGrid>
      <w:tr>
        <w:tc>
          <w:tcPr>
            <w:tcW w:type="dxa" w:w="3024"/>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15"/>
              <w:jc w:val="left"/>
            </w:pPr>
            <w:r>
              <w:rPr>
                <w:b/>
                <w:i w:val="0"/>
                <w:color w:val="FFFFFF"/>
                <w:sz w:val="18"/>
              </w:rPr>
              <w:t>Scenario</w:t>
            </w:r>
          </w:p>
        </w:tc>
        <w:tc>
          <w:tcPr>
            <w:tcW w:type="dxa" w:w="2304"/>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Daily Visits</w:t>
            </w:r>
          </w:p>
        </w:tc>
        <w:tc>
          <w:tcPr>
            <w:tcW w:type="dxa" w:w="2304"/>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Monthly Savings</w:t>
            </w:r>
          </w:p>
        </w:tc>
        <w:tc>
          <w:tcPr>
            <w:tcW w:type="dxa" w:w="288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DermMap Cost → ROI</w:t>
            </w:r>
          </w:p>
        </w:tc>
      </w:tr>
      <w:tr>
        <w:tc>
          <w:tcPr>
            <w:tcW w:type="dxa" w:w="3024"/>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Solo (1 provider)</w:t>
            </w:r>
          </w:p>
        </w:tc>
        <w:tc>
          <w:tcPr>
            <w:tcW w:type="dxa" w:w="2304"/>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15 visits/day</w:t>
            </w:r>
          </w:p>
        </w:tc>
        <w:tc>
          <w:tcPr>
            <w:tcW w:type="dxa" w:w="2304"/>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~$440/mo saved</w:t>
            </w:r>
          </w:p>
        </w:tc>
        <w:tc>
          <w:tcPr>
            <w:tcW w:type="dxa" w:w="2880"/>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$149/mo → 3× ROI</w:t>
            </w:r>
          </w:p>
        </w:tc>
      </w:tr>
      <w:tr>
        <w:tc>
          <w:tcPr>
            <w:tcW w:type="dxa" w:w="302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Small practice (2 provs)</w:t>
            </w:r>
          </w:p>
        </w:tc>
        <w:tc>
          <w:tcPr>
            <w:tcW w:type="dxa" w:w="230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30 visits/day</w:t>
            </w:r>
          </w:p>
        </w:tc>
        <w:tc>
          <w:tcPr>
            <w:tcW w:type="dxa" w:w="230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~$880/mo saved</w:t>
            </w:r>
          </w:p>
        </w:tc>
        <w:tc>
          <w:tcPr>
            <w:tcW w:type="dxa" w:w="2880"/>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$279/mo → 3.2× ROI</w:t>
            </w:r>
          </w:p>
        </w:tc>
      </w:tr>
      <w:tr>
        <w:tc>
          <w:tcPr>
            <w:tcW w:type="dxa" w:w="3024"/>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Mid practice (5 provs)</w:t>
            </w:r>
          </w:p>
        </w:tc>
        <w:tc>
          <w:tcPr>
            <w:tcW w:type="dxa" w:w="2304"/>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75 visits/day</w:t>
            </w:r>
          </w:p>
        </w:tc>
        <w:tc>
          <w:tcPr>
            <w:tcW w:type="dxa" w:w="2304"/>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~$2,200/mo saved</w:t>
            </w:r>
          </w:p>
        </w:tc>
        <w:tc>
          <w:tcPr>
            <w:tcW w:type="dxa" w:w="2880"/>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$449/mo → 4.9× ROI</w:t>
            </w:r>
          </w:p>
        </w:tc>
      </w:tr>
      <w:tr>
        <w:tc>
          <w:tcPr>
            <w:tcW w:type="dxa" w:w="302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Group (10 provs)</w:t>
            </w:r>
          </w:p>
        </w:tc>
        <w:tc>
          <w:tcPr>
            <w:tcW w:type="dxa" w:w="230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150 visits/day</w:t>
            </w:r>
          </w:p>
        </w:tc>
        <w:tc>
          <w:tcPr>
            <w:tcW w:type="dxa" w:w="230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~$4,400/mo saved</w:t>
            </w:r>
          </w:p>
        </w:tc>
        <w:tc>
          <w:tcPr>
            <w:tcW w:type="dxa" w:w="2880"/>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00555F"/>
                <w:sz w:val="18"/>
              </w:rPr>
              <w:t>Custom → 8–12× ROI</w:t>
            </w:r>
          </w:p>
        </w:tc>
      </w:tr>
      <w:tr>
        <w:tc>
          <w:tcPr>
            <w:tcW w:type="dxa" w:w="3024"/>
            <w:shd w:val="clear" w:color="auto" w:fill="F0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val="0"/>
                <w:i/>
                <w:color w:val="555555"/>
                <w:sz w:val="18"/>
              </w:rPr>
              <w:t>Assumptions</w:t>
            </w:r>
          </w:p>
        </w:tc>
        <w:tc>
          <w:tcPr>
            <w:tcW w:type="dxa" w:w="2304"/>
            <w:shd w:val="clear" w:color="auto" w:fill="F0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color w:val="555555"/>
                <w:sz w:val="18"/>
              </w:rPr>
              <w:t>$20/hr MA rate</w:t>
            </w:r>
          </w:p>
        </w:tc>
        <w:tc>
          <w:tcPr>
            <w:tcW w:type="dxa" w:w="2304"/>
            <w:shd w:val="clear" w:color="auto" w:fill="F0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color w:val="555555"/>
                <w:sz w:val="18"/>
              </w:rPr>
              <w:t>4 min saved/visit</w:t>
            </w:r>
          </w:p>
        </w:tc>
        <w:tc>
          <w:tcPr>
            <w:tcW w:type="dxa" w:w="2880"/>
            <w:shd w:val="clear" w:color="auto" w:fill="F0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color w:val="555555"/>
                <w:sz w:val="18"/>
              </w:rPr>
              <w:t>22 working days/mo</w:t>
            </w:r>
          </w:p>
        </w:tc>
      </w:tr>
    </w:tbl>
    <w:p>
      <w:pPr>
        <w:spacing w:before="160" w:after="0"/>
      </w:pPr>
    </w:p>
    <w:tbl>
      <w:tblPr>
        <w:tblW w:type="auto" w:w="0"/>
        <w:jc w:val="left"/>
        <w:tblLayout w:type="fixed"/>
        <w:tblLook w:firstColumn="1" w:firstRow="1" w:lastColumn="0" w:lastRow="0" w:noHBand="0" w:noVBand="1" w:val="04A0"/>
      </w:tblPr>
      <w:tblGrid>
        <w:gridCol w:w="5112"/>
        <w:gridCol w:w="5112"/>
      </w:tblGrid>
      <w:tr>
        <w:tc>
          <w:tcPr>
            <w:tcW w:type="dxa" w:w="1584"/>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20" w:after="120"/>
              <w:jc w:val="center"/>
            </w:pPr>
            <w:r>
              <w:rPr>
                <w:b/>
                <w:i w:val="0"/>
                <w:color w:val="FFFFFF"/>
                <w:sz w:val="18"/>
              </w:rPr>
              <w:t>SALES SCRIPT</w:t>
            </w:r>
          </w:p>
        </w:tc>
        <w:tc>
          <w:tcPr>
            <w:tcW w:type="dxa" w:w="8928"/>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ind w:left="144" w:right="144"/>
            </w:pPr>
            <w:r>
              <w:rPr>
                <w:b w:val="0"/>
                <w:i/>
                <w:color w:val="222222"/>
                <w:sz w:val="20"/>
              </w:rPr>
              <w:t>"Most practices we talk to recover DermMap's entire monthly cost in the first week — just from MA time saved. Everything after that is pure margin. Do you want me to run those numbers with your actual visit volume and MA rate right now?"</w:t>
            </w:r>
          </w:p>
        </w:tc>
      </w:tr>
    </w:tbl>
    <w:p>
      <w:pPr>
        <w:spacing w:before="80" w:after="0"/>
      </w:pPr>
    </w:p>
    <w:p>
      <w:pPr>
        <w:spacing w:before="160" w:after="60"/>
      </w:pPr>
      <w:r>
        <w:rPr>
          <w:b/>
          <w:i w:val="0"/>
          <w:color w:val="00555F"/>
          <w:sz w:val="22"/>
        </w:rPr>
        <w:t>Secondary ROI: HIPAA Risk Avoided</w:t>
      </w:r>
    </w:p>
    <w:p>
      <w:pPr>
        <w:spacing w:before="40" w:after="100"/>
      </w:pPr>
      <w:r>
        <w:rPr>
          <w:b w:val="0"/>
          <w:i w:val="0"/>
          <w:color w:val="222222"/>
          <w:sz w:val="20"/>
        </w:rPr>
        <w:t>HIPAA penalties range from $100–$50,000 per violation, with annual caps up to $1.9M per violation category. A practice using phone camera rolls for patient photos — the status quo for most of DermMap's target customers — has PHI in an unencrypted camera roll that is backed up to personal iCloud accounts, accessible to device repair technicians, and embeds GPS coordinates (EXIF data) in every photo. A single breach or audit finding makes DermMap's annual cost look negligible by comparison. This is not a scare tactic — it is a factual risk transfer calculation, and it resonates strongly with practice managers who have had compliance conversations.</w:t>
      </w:r>
    </w:p>
    <w:p>
      <w:pPr>
        <w:spacing w:before="280" w:after="80"/>
        <w:pBdr>
          <w:bottom w:val="single" w:sz="4" w:space="1" w:color="008B8B"/>
        </w:pBdr>
      </w:pPr>
      <w:r>
        <w:rPr>
          <w:b/>
          <w:i w:val="0"/>
          <w:color w:val="00555F"/>
          <w:sz w:val="26"/>
        </w:rPr>
        <w:t>06  PRICING ANTI-PATTERNS TO AVOID</w:t>
      </w:r>
    </w:p>
    <w:p>
      <w:pPr>
        <w:spacing w:before="160" w:after="60"/>
      </w:pPr>
      <w:r>
        <w:rPr>
          <w:b/>
          <w:i w:val="0"/>
          <w:color w:val="00555F"/>
          <w:sz w:val="22"/>
        </w:rPr>
        <w:t>Do Not Use Per-Lesion or Per-Visit Consumption Pricing</w:t>
      </w:r>
    </w:p>
    <w:p>
      <w:pPr>
        <w:spacing w:before="40" w:after="100"/>
      </w:pPr>
      <w:r>
        <w:rPr>
          <w:b w:val="0"/>
          <w:i w:val="0"/>
          <w:color w:val="222222"/>
          <w:sz w:val="20"/>
        </w:rPr>
        <w:t>A per-lesion model is superficially attractive — it aligns revenue to usage — but it creates a cognitive tax at the exact moment DermMap must be fastest. An MA who wonders "does documenting this lesion cost something?" will start skipping lesions. That defeats the product's core value proposition and creates liability for the practice. Every scaled competitor in adjacent healthcare SaaS categories has moved away from consumption pricing for exactly this reason.</w:t>
      </w:r>
    </w:p>
    <w:p>
      <w:pPr>
        <w:spacing w:before="160" w:after="60"/>
      </w:pPr>
      <w:r>
        <w:rPr>
          <w:b/>
          <w:i w:val="0"/>
          <w:color w:val="00555F"/>
          <w:sz w:val="22"/>
        </w:rPr>
        <w:t>Do Not Use Per-Provider Pricing</w:t>
      </w:r>
    </w:p>
    <w:p>
      <w:pPr>
        <w:spacing w:before="40" w:after="100"/>
      </w:pPr>
      <w:r>
        <w:rPr>
          <w:b w:val="0"/>
          <w:i w:val="0"/>
          <w:color w:val="222222"/>
          <w:sz w:val="20"/>
        </w:rPr>
        <w:t>Charging per physician creates a category mismatch. DermMap's primary daily user is the Medical Assistant. When the physician partner asks the practice manager "why are we paying a per-provider fee for a tool our providers don't use?", there is no good answer. Flat practice tiers sidestep this conversation entirely.</w:t>
      </w:r>
    </w:p>
    <w:p>
      <w:pPr>
        <w:spacing w:before="160" w:after="60"/>
      </w:pPr>
      <w:r>
        <w:rPr>
          <w:b/>
          <w:i w:val="0"/>
          <w:color w:val="00555F"/>
          <w:sz w:val="22"/>
        </w:rPr>
        <w:t>Do Not Discount List Price to Close Deals</w:t>
      </w:r>
    </w:p>
    <w:p>
      <w:pPr>
        <w:spacing w:before="40" w:after="100"/>
      </w:pPr>
      <w:r>
        <w:rPr>
          <w:b w:val="0"/>
          <w:i w:val="0"/>
          <w:color w:val="222222"/>
          <w:sz w:val="20"/>
        </w:rPr>
        <w:t>Ad-hoc discounting signals that the list price is fictional, trains prospects to negotiate before signing, and creates pricing inconsistency that is extremely difficult to unwind at scale. The correct lever is contract length — monthly at full price, annual at 10%, two-year at 15%. These discounts are structural and published. Anything beyond that should require VP approval and be treated as an exception, not a sales technique.</w:t>
      </w:r>
    </w:p>
    <w:p>
      <w:pPr>
        <w:spacing w:before="160" w:after="60"/>
      </w:pPr>
      <w:r>
        <w:rPr>
          <w:b/>
          <w:i w:val="0"/>
          <w:color w:val="00555F"/>
          <w:sz w:val="22"/>
        </w:rPr>
        <w:t>Do Not Hide Pricing Behind a "Contact Sales" Wall</w:t>
      </w:r>
    </w:p>
    <w:p>
      <w:pPr>
        <w:spacing w:before="40" w:after="100"/>
      </w:pPr>
      <w:r>
        <w:rPr>
          <w:b w:val="0"/>
          <w:i w:val="0"/>
          <w:color w:val="222222"/>
          <w:sz w:val="20"/>
        </w:rPr>
        <w:t>Nextech and ModMed do not publish pricing. Their reviews consistently cite this as a trust and frustration issue. DermMap's transparent pricing page is itself a competitive differentiator — it signals confidence, fairness, and respect for the buyer's time. Small practice owners and practice managers, who are the primary DermMap buyer, are especially sensitive to pricing opacity after being burned by EHR contracts.</w:t>
      </w:r>
    </w:p>
    <w:p>
      <w:pPr>
        <w:spacing w:before="280" w:after="80"/>
        <w:pBdr>
          <w:bottom w:val="single" w:sz="4" w:space="1" w:color="008B8B"/>
        </w:pBdr>
      </w:pPr>
      <w:r>
        <w:rPr>
          <w:b/>
          <w:i w:val="0"/>
          <w:color w:val="00555F"/>
          <w:sz w:val="26"/>
        </w:rPr>
        <w:t>07  COMPETITIVE PRICING POSITION MAP</w:t>
      </w:r>
    </w:p>
    <w:p>
      <w:pPr>
        <w:spacing w:before="40" w:after="100"/>
      </w:pPr>
      <w:r>
        <w:rPr>
          <w:b w:val="0"/>
          <w:i w:val="0"/>
          <w:color w:val="222222"/>
          <w:sz w:val="20"/>
        </w:rPr>
        <w:t>The table below shows how DermMap's recommended pricing compares to competitors on two axes: annual cost to a typical 3-provider practice, and what that cost delivers.</w:t>
      </w:r>
    </w:p>
    <w:tbl>
      <w:tblPr>
        <w:tblW w:type="auto" w:w="0"/>
        <w:jc w:val="left"/>
        <w:tblLayout w:type="fixed"/>
        <w:tblLook w:firstColumn="1" w:firstRow="1" w:lastColumn="0" w:lastRow="0" w:noHBand="0" w:noVBand="1" w:val="04A0"/>
      </w:tblPr>
      <w:tblGrid>
        <w:gridCol w:w="2556"/>
        <w:gridCol w:w="2556"/>
        <w:gridCol w:w="2556"/>
        <w:gridCol w:w="2556"/>
      </w:tblGrid>
      <w:tr>
        <w:tc>
          <w:tcPr>
            <w:tcW w:type="dxa" w:w="259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15"/>
              <w:jc w:val="left"/>
            </w:pPr>
            <w:r>
              <w:rPr>
                <w:b/>
                <w:i w:val="0"/>
                <w:color w:val="FFFFFF"/>
                <w:sz w:val="18"/>
              </w:rPr>
              <w:t>Solution</w:t>
            </w:r>
          </w:p>
        </w:tc>
        <w:tc>
          <w:tcPr>
            <w:tcW w:type="dxa" w:w="216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Annual Cost</w:t>
              <w:br/>
              <w:t>(3-provider practice)</w:t>
            </w:r>
          </w:p>
        </w:tc>
        <w:tc>
          <w:tcPr>
            <w:tcW w:type="dxa" w:w="216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Pricing Model</w:t>
            </w:r>
          </w:p>
        </w:tc>
        <w:tc>
          <w:tcPr>
            <w:tcW w:type="dxa" w:w="360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jc w:val="center"/>
            </w:pPr>
            <w:r>
              <w:rPr>
                <w:b/>
                <w:i w:val="0"/>
                <w:color w:val="FFFFFF"/>
                <w:sz w:val="18"/>
              </w:rPr>
              <w:t>What You Get</w:t>
            </w:r>
          </w:p>
        </w:tc>
      </w:tr>
      <w:tr>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222222"/>
                <w:sz w:val="18"/>
              </w:rPr>
              <w:t>ModMed EMA</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~$28,800–$46,800</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Per-provider/mo</w:t>
            </w:r>
          </w:p>
        </w:tc>
        <w:tc>
          <w:tcPr>
            <w:tcW w:type="dxa" w:w="36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val="0"/>
                <w:i w:val="0"/>
                <w:color w:val="222222"/>
                <w:sz w:val="17"/>
              </w:rPr>
              <w:t>Full EHR + PM + billing. Replaces everything. 6–12 month implementation.</w:t>
            </w:r>
          </w:p>
        </w:tc>
      </w:tr>
      <w:tr>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222222"/>
                <w:sz w:val="18"/>
              </w:rPr>
              <w:t>Nextech</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~$21,600–$32,400</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Per-provider/mo</w:t>
            </w:r>
          </w:p>
        </w:tc>
        <w:tc>
          <w:tcPr>
            <w:tcW w:type="dxa" w:w="36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val="0"/>
                <w:i w:val="0"/>
                <w:color w:val="222222"/>
                <w:sz w:val="17"/>
              </w:rPr>
              <w:t>Full EHR + PM. Replaces everything. Evergreen contracts.</w:t>
            </w:r>
          </w:p>
        </w:tc>
      </w:tr>
      <w:tr>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222222"/>
                <w:sz w:val="18"/>
              </w:rPr>
              <w:t>EZDERM</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~$14,400–$18,000</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Per-provider/mo</w:t>
            </w:r>
          </w:p>
        </w:tc>
        <w:tc>
          <w:tcPr>
            <w:tcW w:type="dxa" w:w="36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val="0"/>
                <w:i w:val="0"/>
                <w:color w:val="222222"/>
                <w:sz w:val="17"/>
              </w:rPr>
              <w:t>Full derm EHR. Replaces everything. + implementation costs.</w:t>
            </w:r>
          </w:p>
        </w:tc>
      </w:tr>
      <w:tr>
        <w:tc>
          <w:tcPr>
            <w:tcW w:type="dxa" w:w="2592"/>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222222"/>
                <w:sz w:val="18"/>
              </w:rPr>
              <w:t>DrChrono</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~$7,200–$21,600</w:t>
            </w:r>
          </w:p>
        </w:tc>
        <w:tc>
          <w:tcPr>
            <w:tcW w:type="dxa" w:w="216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Per-provider/mo</w:t>
            </w:r>
          </w:p>
        </w:tc>
        <w:tc>
          <w:tcPr>
            <w:tcW w:type="dxa" w:w="360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val="0"/>
                <w:i w:val="0"/>
                <w:color w:val="222222"/>
                <w:sz w:val="17"/>
              </w:rPr>
              <w:t>Full EHR. iPad-first but limited derm specificity.</w:t>
            </w:r>
          </w:p>
        </w:tc>
      </w:tr>
      <w:tr>
        <w:tc>
          <w:tcPr>
            <w:tcW w:type="dxa" w:w="2592"/>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222222"/>
                <w:sz w:val="18"/>
              </w:rPr>
              <w:t>DermEngine Pro†</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~$3,588</w:t>
            </w:r>
          </w:p>
        </w:tc>
        <w:tc>
          <w:tcPr>
            <w:tcW w:type="dxa" w:w="216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Practice flat</w:t>
            </w:r>
          </w:p>
        </w:tc>
        <w:tc>
          <w:tcPr>
            <w:tcW w:type="dxa" w:w="3600"/>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val="0"/>
                <w:i w:val="0"/>
                <w:color w:val="222222"/>
                <w:sz w:val="17"/>
              </w:rPr>
              <w:t>AI lesion matching only. Requires hardware. No exam workflow.</w:t>
            </w:r>
          </w:p>
        </w:tc>
      </w:tr>
      <w:tr>
        <w:tc>
          <w:tcPr>
            <w:tcW w:type="dxa" w:w="2592"/>
            <w:shd w:val="clear" w:color="auto" w:fill="F5E8E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8B0000"/>
                <w:sz w:val="18"/>
              </w:rPr>
              <w:t>Status Quo</w:t>
            </w:r>
          </w:p>
        </w:tc>
        <w:tc>
          <w:tcPr>
            <w:tcW w:type="dxa" w:w="2160"/>
            <w:shd w:val="clear" w:color="auto" w:fill="FF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$0</w:t>
            </w:r>
          </w:p>
        </w:tc>
        <w:tc>
          <w:tcPr>
            <w:tcW w:type="dxa" w:w="2160"/>
            <w:shd w:val="clear" w:color="auto" w:fill="FF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val="0"/>
                <w:i w:val="0"/>
                <w:color w:val="222222"/>
                <w:sz w:val="18"/>
              </w:rPr>
              <w:t>N/A</w:t>
            </w:r>
          </w:p>
        </w:tc>
        <w:tc>
          <w:tcPr>
            <w:tcW w:type="dxa" w:w="3600"/>
            <w:shd w:val="clear" w:color="auto" w:fill="FF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val="0"/>
                <w:i w:val="0"/>
                <w:color w:val="222222"/>
                <w:sz w:val="17"/>
              </w:rPr>
              <w:t>Paper + camera roll. Hidden cost: 90+ min/day MA time + HIPAA risk.</w:t>
            </w:r>
          </w:p>
        </w:tc>
      </w:tr>
      <w:tr>
        <w:tc>
          <w:tcPr>
            <w:tcW w:type="dxa" w:w="2592"/>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00555F"/>
                <w:sz w:val="18"/>
              </w:rPr>
              <w:t>DermMap Practice ✓</w:t>
            </w:r>
          </w:p>
        </w:tc>
        <w:tc>
          <w:tcPr>
            <w:tcW w:type="dxa" w:w="2160"/>
            <w:shd w:val="clear" w:color="auto" w:fill="D0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222222"/>
                <w:sz w:val="18"/>
              </w:rPr>
              <w:t>$3,012/yr (annual)</w:t>
            </w:r>
          </w:p>
        </w:tc>
        <w:tc>
          <w:tcPr>
            <w:tcW w:type="dxa" w:w="2160"/>
            <w:shd w:val="clear" w:color="auto" w:fill="D0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jc w:val="center"/>
            </w:pPr>
            <w:r>
              <w:rPr>
                <w:b/>
                <w:i w:val="0"/>
                <w:color w:val="222222"/>
                <w:sz w:val="18"/>
              </w:rPr>
              <w:t>Practice flat tiers</w:t>
            </w:r>
          </w:p>
        </w:tc>
        <w:tc>
          <w:tcPr>
            <w:tcW w:type="dxa" w:w="3600"/>
            <w:shd w:val="clear" w:color="auto" w:fill="D0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jc w:val="left"/>
            </w:pPr>
            <w:r>
              <w:rPr>
                <w:b/>
                <w:i w:val="0"/>
                <w:color w:val="222222"/>
                <w:sz w:val="17"/>
              </w:rPr>
              <w:t>Exam-room documentation. Works WITH your existing EHR. 48-hr setup.</w:t>
            </w:r>
          </w:p>
        </w:tc>
      </w:tr>
    </w:tbl>
    <w:p>
      <w:pPr>
        <w:spacing w:before="280" w:after="80"/>
        <w:pBdr>
          <w:bottom w:val="single" w:sz="4" w:space="1" w:color="008B8B"/>
        </w:pBdr>
      </w:pPr>
      <w:r>
        <w:rPr>
          <w:b/>
          <w:i w:val="0"/>
          <w:color w:val="00555F"/>
          <w:sz w:val="26"/>
        </w:rPr>
        <w:t>08  FUTURE PRICING EVOLUTION</w:t>
      </w:r>
    </w:p>
    <w:p>
      <w:pPr>
        <w:spacing w:before="40" w:after="100"/>
      </w:pPr>
      <w:r>
        <w:rPr>
          <w:b w:val="0"/>
          <w:i w:val="0"/>
          <w:color w:val="222222"/>
          <w:sz w:val="20"/>
        </w:rPr>
        <w:t>The pricing tiers above are the right go-to-market price for a product entering the market. As DermMap scales and adds capabilities, the pricing structure should evolve in a controlled way.</w:t>
      </w:r>
    </w:p>
    <w:p>
      <w:pPr>
        <w:spacing w:before="160" w:after="60"/>
      </w:pPr>
      <w:r>
        <w:rPr>
          <w:b/>
          <w:i w:val="0"/>
          <w:color w:val="00555F"/>
          <w:sz w:val="22"/>
        </w:rPr>
        <w:t>Planned Feature Gates (Trigger Higher Tier Adoption)</w:t>
      </w:r>
    </w:p>
    <w:p>
      <w:pPr>
        <w:spacing w:before="20" w:after="60"/>
        <w:ind w:left="360"/>
      </w:pPr>
      <w:r>
        <w:rPr>
          <w:b/>
          <w:i w:val="0"/>
          <w:color w:val="008B8B"/>
          <w:sz w:val="20"/>
        </w:rPr>
        <w:t xml:space="preserve">• </w:t>
      </w:r>
      <w:r>
        <w:rPr>
          <w:b/>
          <w:i w:val="0"/>
          <w:color w:val="222222"/>
          <w:sz w:val="20"/>
        </w:rPr>
        <w:t xml:space="preserve">AI lesion change detection: </w:t>
      </w:r>
      <w:r>
        <w:rPr>
          <w:b w:val="0"/>
          <w:i w:val="0"/>
          <w:color w:val="222222"/>
          <w:sz w:val="20"/>
        </w:rPr>
        <w:t>when launched, include in Group and Enterprise only — creates strong upsell path from Practice tier</w:t>
      </w:r>
    </w:p>
    <w:p>
      <w:pPr>
        <w:spacing w:before="20" w:after="60"/>
        <w:ind w:left="360"/>
      </w:pPr>
      <w:r>
        <w:rPr>
          <w:b/>
          <w:i w:val="0"/>
          <w:color w:val="008B8B"/>
          <w:sz w:val="20"/>
        </w:rPr>
        <w:t xml:space="preserve">• </w:t>
      </w:r>
      <w:r>
        <w:rPr>
          <w:b/>
          <w:i w:val="0"/>
          <w:color w:val="222222"/>
          <w:sz w:val="20"/>
        </w:rPr>
        <w:t xml:space="preserve">FHIR EHR integrations: </w:t>
      </w:r>
      <w:r>
        <w:rPr>
          <w:b w:val="0"/>
          <w:i w:val="0"/>
          <w:color w:val="222222"/>
          <w:sz w:val="20"/>
        </w:rPr>
        <w:t>include natively in Group and Enterprise; offer as a $49/mo add-on for Practice tier</w:t>
      </w:r>
    </w:p>
    <w:p>
      <w:pPr>
        <w:spacing w:before="20" w:after="60"/>
        <w:ind w:left="360"/>
      </w:pPr>
      <w:r>
        <w:rPr>
          <w:b/>
          <w:i w:val="0"/>
          <w:color w:val="008B8B"/>
          <w:sz w:val="20"/>
        </w:rPr>
        <w:t xml:space="preserve">• </w:t>
      </w:r>
      <w:r>
        <w:rPr>
          <w:b/>
          <w:i w:val="0"/>
          <w:color w:val="222222"/>
          <w:sz w:val="20"/>
        </w:rPr>
        <w:t xml:space="preserve">Practice analytics dashboard: </w:t>
      </w:r>
      <w:r>
        <w:rPr>
          <w:b w:val="0"/>
          <w:i w:val="0"/>
          <w:color w:val="222222"/>
          <w:sz w:val="20"/>
        </w:rPr>
        <w:t>basic metrics in all tiers; advanced cohort and outcome analytics in Group and Enterprise</w:t>
      </w:r>
    </w:p>
    <w:p>
      <w:pPr>
        <w:spacing w:before="20" w:after="60"/>
        <w:ind w:left="360"/>
      </w:pPr>
      <w:r>
        <w:rPr>
          <w:b/>
          <w:i w:val="0"/>
          <w:color w:val="008B8B"/>
          <w:sz w:val="20"/>
        </w:rPr>
        <w:t xml:space="preserve">• </w:t>
      </w:r>
      <w:r>
        <w:rPr>
          <w:b/>
          <w:i w:val="0"/>
          <w:color w:val="222222"/>
          <w:sz w:val="20"/>
        </w:rPr>
        <w:t xml:space="preserve">Multi-location support: </w:t>
      </w:r>
      <w:r>
        <w:rPr>
          <w:b w:val="0"/>
          <w:i w:val="0"/>
          <w:color w:val="222222"/>
          <w:sz w:val="20"/>
        </w:rPr>
        <w:t>single location in Solo–Group; multi-location requires Enterprise</w:t>
      </w:r>
    </w:p>
    <w:p>
      <w:pPr>
        <w:spacing w:before="20" w:after="60"/>
        <w:ind w:left="360"/>
      </w:pPr>
      <w:r>
        <w:rPr>
          <w:b/>
          <w:i w:val="0"/>
          <w:color w:val="008B8B"/>
          <w:sz w:val="20"/>
        </w:rPr>
        <w:t xml:space="preserve">• </w:t>
      </w:r>
      <w:r>
        <w:rPr>
          <w:b/>
          <w:i w:val="0"/>
          <w:color w:val="222222"/>
          <w:sz w:val="20"/>
        </w:rPr>
        <w:t xml:space="preserve">API access: </w:t>
      </w:r>
      <w:r>
        <w:rPr>
          <w:b w:val="0"/>
          <w:i w:val="0"/>
          <w:color w:val="222222"/>
          <w:sz w:val="20"/>
        </w:rPr>
        <w:t>Enterprise only — allows integration partners and tech-forward practices to build on DermMap</w:t>
      </w:r>
    </w:p>
    <w:p>
      <w:pPr>
        <w:spacing w:before="160" w:after="60"/>
      </w:pPr>
      <w:r>
        <w:rPr>
          <w:b/>
          <w:i w:val="0"/>
          <w:color w:val="00555F"/>
          <w:sz w:val="22"/>
        </w:rPr>
        <w:t>Price Increase Strategy</w:t>
      </w:r>
    </w:p>
    <w:p>
      <w:pPr>
        <w:spacing w:before="40" w:after="100"/>
      </w:pPr>
      <w:r>
        <w:rPr>
          <w:b w:val="0"/>
          <w:i w:val="0"/>
          <w:color w:val="222222"/>
          <w:sz w:val="20"/>
        </w:rPr>
        <w:t>Do not increase pricing until Net Promoter Score (NPS) exceeds 50 and churn is below 5% annually. When increasing, grandfather existing annual customers at their current rate for the full contract term, then apply new pricing at renewal. Announce increases 90 days in advance. A 10–15% annual price adjustment after 18 months of proven value is standard SaaS practice and will not materially affect churn if the product has delivered on its ROI promise.</w:t>
      </w:r>
    </w:p>
    <w:p>
      <w:pPr>
        <w:pBdr>
          <w:bottom w:val="single" w:sz="6" w:space="1" w:color="008B8B"/>
        </w:pBdr>
        <w:spacing w:before="240" w:after="120"/>
      </w:pPr>
    </w:p>
    <w:p>
      <w:pPr>
        <w:spacing w:before="0" w:after="0"/>
        <w:jc w:val="center"/>
      </w:pPr>
      <w:r>
        <w:rPr>
          <w:b w:val="0"/>
          <w:i w:val="0"/>
          <w:color w:val="555555"/>
          <w:sz w:val="16"/>
        </w:rPr>
        <w:t xml:space="preserve">DermMap Pricing Strategy · March 2026 · Confidential — Internal Use Only · </w:t>
      </w:r>
      <w:r>
        <w:rPr>
          <w:b w:val="0"/>
          <w:i w:val="0"/>
          <w:color w:val="008B8B"/>
          <w:sz w:val="16"/>
        </w:rPr>
        <w:t>Companion: DermMap Competitive Analysis (March 2026)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