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912"/>
            <w:shd w:val="clear" w:color="auto" w:fill="008B8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200" w:after="200"/>
              <w:ind w:left="288"/>
              <w:jc w:val="left"/>
            </w:pPr>
            <w:r>
              <w:rPr>
                <w:b/>
                <w:i w:val="0"/>
                <w:color w:val="FFFFFF"/>
                <w:sz w:val="56"/>
              </w:rPr>
              <w:t>DermMap</w:t>
            </w:r>
            <w:r>
              <w:rPr>
                <w:b w:val="0"/>
                <w:i w:val="0"/>
                <w:color w:val="CCF0F0"/>
                <w:sz w:val="26"/>
              </w:rPr>
              <w:t xml:space="preserve">  |  Dermatology Documentation Reimagined</w:t>
            </w:r>
          </w:p>
        </w:tc>
        <w:tc>
          <w:tcPr>
            <w:tcW w:type="dxa" w:w="3600"/>
            <w:shd w:val="clear" w:color="auto" w:fill="005F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200" w:after="40"/>
              <w:ind w:right="288"/>
              <w:jc w:val="right"/>
            </w:pPr>
            <w:r>
              <w:rPr>
                <w:b/>
                <w:i w:val="0"/>
                <w:color w:val="FFFFFF"/>
                <w:sz w:val="22"/>
              </w:rPr>
              <w:t>Request a Demo</w:t>
            </w:r>
          </w:p>
          <w:p>
            <w:pPr>
              <w:spacing w:before="0" w:after="200"/>
              <w:ind w:right="288"/>
              <w:jc w:val="right"/>
            </w:pPr>
            <w:r>
              <w:rPr>
                <w:b w:val="0"/>
                <w:i w:val="0"/>
                <w:color w:val="CCF0F0"/>
                <w:sz w:val="20"/>
              </w:rPr>
              <w:t>dermmap.io</w:t>
            </w:r>
          </w:p>
        </w:tc>
      </w:tr>
    </w:tbl>
    <w:p>
      <w:pPr>
        <w:jc w:val="center"/>
        <w:spacing w:before="140" w:after="80"/>
      </w:pPr>
      <w:r>
        <w:rPr>
          <w:b/>
          <w:i w:val="0"/>
          <w:color w:val="006060"/>
          <w:sz w:val="28"/>
        </w:rPr>
        <w:t>Document a dermatology lesion in under 10 seconds. From any exam room. On any phone.</w:t>
      </w:r>
    </w:p>
    <w:p>
      <w:pPr>
        <w:jc w:val="left"/>
        <w:pBdr>
          <w:bottom w:val="single" w:sz="6" w:space="1" w:color="008B8B"/>
        </w:pBdr>
        <w:spacing w:before="0" w:after="100"/>
      </w:pPr>
    </w:p>
    <w:p>
      <w:pPr>
        <w:jc w:val="left"/>
        <w:spacing w:before="60" w:after="60"/>
      </w:pPr>
      <w:r>
        <w:rPr>
          <w:b/>
          <w:i w:val="0"/>
          <w:color w:val="008B8B"/>
          <w:sz w:val="20"/>
        </w:rPr>
        <w:t xml:space="preserve">THE PROBLEM  </w:t>
      </w:r>
      <w:r>
        <w:rPr>
          <w:b w:val="0"/>
          <w:i w:val="0"/>
          <w:color w:val="333333"/>
          <w:sz w:val="20"/>
        </w:rPr>
        <w:t>Dermatology clinics lose 15–25 minutes per visit to manual lesion documentation — paper sketches, disconnected photo apps, and EHR typing that happens hours after the exam. Skin findings get lost, biopsy follow-up falls through cracks, and auditors ask hard questions.</w:t>
      </w:r>
    </w:p>
    <w:p>
      <w:pPr>
        <w:jc w:val="left"/>
        <w:spacing w:before="100" w:after="60"/>
      </w:pPr>
      <w:r>
        <w:rPr>
          <w:b/>
          <w:i w:val="0"/>
          <w:color w:val="006060"/>
          <w:sz w:val="22"/>
        </w:rPr>
        <w:t>WHY CLINICS CHOOSE DERMMAP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413"/>
            <w:shd w:val="clear" w:color="auto" w:fill="E0F5F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top"/>
          </w:tcPr>
          <w:p>
            <w:pPr>
              <w:spacing w:before="160" w:after="120"/>
              <w:ind w:left="144" w:right="144"/>
              <w:jc w:val="center"/>
            </w:pPr>
            <w:r>
              <w:rPr>
                <w:b/>
                <w:i w:val="0"/>
                <w:color w:val="006060"/>
                <w:sz w:val="20"/>
              </w:rPr>
              <w:t>📱 Phone-First</w:t>
              <w:br/>
              <w:t>Design</w:t>
            </w:r>
          </w:p>
          <w:p>
            <w:pPr>
              <w:spacing w:before="0" w:after="160"/>
              <w:ind w:left="144" w:right="144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Built for the Medical Assistant in the exam room — not a desktop tool forced onto mobile. Native iOS &amp; Android with one-handed operation, instant camera access, and offline mode for rooms with bad WiFi.</w:t>
            </w:r>
          </w:p>
        </w:tc>
        <w:tc>
          <w:tcPr>
            <w:tcW w:type="dxa" w:w="3413"/>
            <w:shd w:val="clear" w:color="auto" w:fill="E0F5F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top"/>
          </w:tcPr>
          <w:p>
            <w:pPr>
              <w:spacing w:before="160" w:after="120"/>
              <w:ind w:left="144" w:right="144"/>
              <w:jc w:val="center"/>
            </w:pPr>
            <w:r>
              <w:rPr>
                <w:b/>
                <w:i w:val="0"/>
                <w:color w:val="006060"/>
                <w:sz w:val="20"/>
              </w:rPr>
              <w:t>⚡ Under 10 Seconds</w:t>
              <w:br/>
              <w:t>from Patient to Lesion</w:t>
            </w:r>
          </w:p>
          <w:p>
            <w:pPr>
              <w:spacing w:before="0" w:after="160"/>
              <w:ind w:left="144" w:right="144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Tap to place a marker on an anatomical body map. Snap a photo. Add size, color, and shape via quick dropdowns. Done. The average DermMap documentation takes 8 seconds vs. 4–6 minutes in a traditional EHR workflow.</w:t>
            </w:r>
          </w:p>
        </w:tc>
        <w:tc>
          <w:tcPr>
            <w:tcW w:type="dxa" w:w="3413"/>
            <w:shd w:val="clear" w:color="auto" w:fill="E0F5F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top"/>
          </w:tcPr>
          <w:p>
            <w:pPr>
              <w:spacing w:before="160" w:after="120"/>
              <w:ind w:left="144" w:right="144"/>
              <w:jc w:val="center"/>
            </w:pPr>
            <w:r>
              <w:rPr>
                <w:b/>
                <w:i w:val="0"/>
                <w:color w:val="006060"/>
                <w:sz w:val="20"/>
              </w:rPr>
              <w:t>🔒 HIPAA Built In,</w:t>
              <w:br/>
              <w:t>Not Bolted On</w:t>
            </w:r>
          </w:p>
          <w:p>
            <w:pPr>
              <w:spacing w:before="0" w:after="160"/>
              <w:ind w:left="144" w:right="144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AES-256 encryption at rest, TLS 1.3 in transit. Every action generates an immutable audit log. Role-based access prevents MAs from seeing physician notes. Audit-ready from day one.</w:t>
            </w:r>
          </w:p>
        </w:tc>
      </w:tr>
    </w:tbl>
    <w:p>
      <w:pPr>
        <w:jc w:val="left"/>
        <w:spacing w:before="140" w:after="60"/>
      </w:pPr>
      <w:r>
        <w:rPr>
          <w:b/>
          <w:i w:val="0"/>
          <w:color w:val="006060"/>
          <w:sz w:val="22"/>
        </w:rPr>
        <w:t>KEY FEATURES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i w:val="0"/>
                <w:color w:val="008B8B"/>
                <w:sz w:val="20"/>
              </w:rPr>
              <w:t>✓  Anatomical Body Map</w:t>
            </w:r>
          </w:p>
          <w:p>
            <w:pPr>
              <w:spacing w:before="0" w:after="120"/>
              <w:ind w:left="144"/>
            </w:pPr>
            <w:r>
              <w:rPr>
                <w:b w:val="0"/>
                <w:i w:val="0"/>
                <w:color w:val="666666"/>
                <w:sz w:val="18"/>
              </w:rPr>
              <w:t xml:space="preserve">   Tap-to-place lesion markers on anterior, posterior, and lateral views with pinch-to-zoom precision.</w:t>
            </w:r>
          </w:p>
        </w:tc>
        <w:tc>
          <w:tcPr>
            <w:tcW w:type="dxa" w:w="5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i w:val="0"/>
                <w:color w:val="008B8B"/>
                <w:sz w:val="20"/>
              </w:rPr>
              <w:t>✓  One-Tap PDF Export</w:t>
            </w:r>
          </w:p>
          <w:p>
            <w:pPr>
              <w:spacing w:before="0" w:after="120"/>
              <w:ind w:left="144"/>
            </w:pPr>
            <w:r>
              <w:rPr>
                <w:b w:val="0"/>
                <w:i w:val="0"/>
                <w:color w:val="666666"/>
                <w:sz w:val="18"/>
              </w:rPr>
              <w:t xml:space="preserve">   Generate a professional clinical PDF with body map, photos, and lesion table — compatible with every EHR as a document attachment. No API needed.</w:t>
            </w:r>
          </w:p>
        </w:tc>
      </w:tr>
      <w:tr>
        <w:tc>
          <w:tcPr>
            <w:tcW w:type="dxa" w:w="5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i w:val="0"/>
                <w:color w:val="008B8B"/>
                <w:sz w:val="20"/>
              </w:rPr>
              <w:t>✓  Longitudinal Lesion Tracking</w:t>
            </w:r>
          </w:p>
          <w:p>
            <w:pPr>
              <w:spacing w:before="0" w:after="120"/>
              <w:ind w:left="144"/>
            </w:pPr>
            <w:r>
              <w:rPr>
                <w:b w:val="0"/>
                <w:i w:val="0"/>
                <w:color w:val="666666"/>
                <w:sz w:val="18"/>
              </w:rPr>
              <w:t xml:space="preserve">   Full photo history per lesion, side-by-side comparison across visits, and color-coded status markers (monitoring, biopsied, excised).</w:t>
            </w:r>
          </w:p>
        </w:tc>
        <w:tc>
          <w:tcPr>
            <w:tcW w:type="dxa" w:w="5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i w:val="0"/>
                <w:color w:val="008B8B"/>
                <w:sz w:val="20"/>
              </w:rPr>
              <w:t>✓  EHR Integration Roadmap</w:t>
            </w:r>
          </w:p>
          <w:p>
            <w:pPr>
              <w:spacing w:before="0" w:after="120"/>
              <w:ind w:left="144"/>
            </w:pPr>
            <w:r>
              <w:rPr>
                <w:b w:val="0"/>
                <w:i w:val="0"/>
                <w:color w:val="666666"/>
                <w:sz w:val="18"/>
              </w:rPr>
              <w:t xml:space="preserve">   FHIR R4 integration with Epic, Cerner, Athenahealth, and Modernizing Medicine (ModMed) — the dominant derm EHR.</w:t>
            </w:r>
          </w:p>
        </w:tc>
      </w:tr>
      <w:tr>
        <w:tc>
          <w:tcPr>
            <w:tcW w:type="dxa" w:w="5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i w:val="0"/>
                <w:color w:val="008B8B"/>
                <w:sz w:val="20"/>
              </w:rPr>
              <w:t>✓  Offline-First Architecture</w:t>
            </w:r>
          </w:p>
          <w:p>
            <w:pPr>
              <w:spacing w:before="0" w:after="120"/>
              <w:ind w:left="144"/>
            </w:pPr>
            <w:r>
              <w:rPr>
                <w:b w:val="0"/>
                <w:i w:val="0"/>
                <w:color w:val="666666"/>
                <w:sz w:val="18"/>
              </w:rPr>
              <w:t xml:space="preserve">   Full functionality with no internet. All data is encrypted locally and syncs automatically when reconnected.</w:t>
            </w:r>
          </w:p>
        </w:tc>
        <w:tc>
          <w:tcPr>
            <w:tcW w:type="dxa" w:w="5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i w:val="0"/>
                <w:color w:val="008B8B"/>
                <w:sz w:val="20"/>
              </w:rPr>
              <w:t>✓  Dermoscopy Support</w:t>
            </w:r>
          </w:p>
          <w:p>
            <w:pPr>
              <w:spacing w:before="0" w:after="120"/>
              <w:ind w:left="144"/>
            </w:pPr>
            <w:r>
              <w:rPr>
                <w:b w:val="0"/>
                <w:i w:val="0"/>
                <w:color w:val="666666"/>
                <w:sz w:val="18"/>
              </w:rPr>
              <w:t xml:space="preserve">   Compatible with DermLite, 3Gen, and Canfield lens adapters. Auto-adjusts exposure and white balance.</w:t>
            </w:r>
          </w:p>
        </w:tc>
      </w:tr>
      <w:tr>
        <w:tc>
          <w:tcPr>
            <w:tcW w:type="dxa" w:w="5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i w:val="0"/>
                <w:color w:val="008B8B"/>
                <w:sz w:val="20"/>
              </w:rPr>
              <w:t>✓  Role-Based Access Control</w:t>
            </w:r>
          </w:p>
          <w:p>
            <w:pPr>
              <w:spacing w:before="0" w:after="120"/>
              <w:ind w:left="144"/>
            </w:pPr>
            <w:r>
              <w:rPr>
                <w:b w:val="0"/>
                <w:i w:val="0"/>
                <w:color w:val="666666"/>
                <w:sz w:val="18"/>
              </w:rPr>
              <w:t xml:space="preserve">   MAs document. Physicians review and sign off. Admins manage users and pull audit logs. Every role sees exactly what it should.</w:t>
            </w:r>
          </w:p>
        </w:tc>
        <w:tc>
          <w:tcPr>
            <w:tcW w:type="dxa" w:w="5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i w:val="0"/>
                <w:color w:val="008B8B"/>
                <w:sz w:val="20"/>
              </w:rPr>
              <w:t>✓  Practice Analytics</w:t>
            </w:r>
          </w:p>
          <w:p>
            <w:pPr>
              <w:spacing w:before="0" w:after="120"/>
              <w:ind w:left="144"/>
            </w:pPr>
            <w:r>
              <w:rPr>
                <w:b w:val="0"/>
                <w:i w:val="0"/>
                <w:color w:val="666666"/>
                <w:sz w:val="18"/>
              </w:rPr>
              <w:t xml:space="preserve">   Track documentation speed, provider adoption, and lesion outcomes. Built-in ROI calculator shows time saved per provider per day.</w:t>
            </w:r>
          </w:p>
        </w:tc>
      </w:tr>
    </w:tbl>
    <w:p>
      <w:pPr>
        <w:jc w:val="left"/>
        <w:spacing w:before="100" w:after="60"/>
      </w:pPr>
      <w:r>
        <w:rPr>
          <w:b/>
          <w:i w:val="0"/>
          <w:color w:val="006060"/>
          <w:sz w:val="22"/>
        </w:rPr>
        <w:t>SECURITY &amp;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45"/>
            <w:shd w:val="clear" w:color="auto" w:fill="00547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i w:val="0"/>
                <w:color w:val="FFFFFF"/>
                <w:sz w:val="18"/>
              </w:rPr>
              <w:t>HIPAA</w:t>
              <w:br/>
              <w:t>Compliant</w:t>
            </w:r>
          </w:p>
        </w:tc>
        <w:tc>
          <w:tcPr>
            <w:tcW w:type="dxa" w:w="2045"/>
            <w:shd w:val="clear" w:color="auto" w:fill="00697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i w:val="0"/>
                <w:color w:val="FFFFFF"/>
                <w:sz w:val="18"/>
              </w:rPr>
              <w:t>AES-256</w:t>
              <w:br/>
              <w:t>Encryption</w:t>
            </w:r>
          </w:p>
        </w:tc>
        <w:tc>
          <w:tcPr>
            <w:tcW w:type="dxa" w:w="2045"/>
            <w:shd w:val="clear" w:color="auto" w:fill="0080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i w:val="0"/>
                <w:color w:val="FFFFFF"/>
                <w:sz w:val="18"/>
              </w:rPr>
              <w:t>TLS 1.3</w:t>
              <w:br/>
              <w:t>In Transit</w:t>
            </w:r>
          </w:p>
        </w:tc>
        <w:tc>
          <w:tcPr>
            <w:tcW w:type="dxa" w:w="2045"/>
            <w:shd w:val="clear" w:color="auto" w:fill="00909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i w:val="0"/>
                <w:color w:val="FFFFFF"/>
                <w:sz w:val="18"/>
              </w:rPr>
              <w:t>6-Year</w:t>
              <w:br/>
              <w:t>Audit Logs</w:t>
            </w:r>
          </w:p>
        </w:tc>
        <w:tc>
          <w:tcPr>
            <w:tcW w:type="dxa" w:w="2045"/>
            <w:shd w:val="clear" w:color="auto" w:fill="00a0a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i w:val="0"/>
                <w:color w:val="FFFFFF"/>
                <w:sz w:val="18"/>
              </w:rPr>
              <w:t>BAA-Ready</w:t>
              <w:br/>
              <w:t>Infrastructure</w:t>
            </w:r>
          </w:p>
        </w:tc>
      </w:tr>
    </w:tbl>
    <w:p>
      <w:pPr>
        <w:jc w:val="left"/>
        <w:spacing w:before="120" w:after="60"/>
      </w:pPr>
      <w:r>
        <w:rPr>
          <w:b/>
          <w:i w:val="0"/>
          <w:color w:val="006060"/>
          <w:sz w:val="22"/>
        </w:rPr>
        <w:t xml:space="preserve">HOW THE DEMO FLOW WORKS  </w:t>
      </w:r>
      <w:r>
        <w:rPr>
          <w:b w:val="0"/>
          <w:i/>
          <w:color w:val="666666"/>
          <w:sz w:val="18"/>
        </w:rPr>
        <w:t>(avg. 8 seconds per lesion)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45"/>
            <w:shd w:val="clear" w:color="auto" w:fill="008B8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top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FFFFFF"/>
                <w:sz w:val="36"/>
              </w:rPr>
              <w:t>1</w:t>
            </w:r>
          </w:p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Select</w:t>
              <w:br/>
              <w:t>Patient</w:t>
            </w:r>
          </w:p>
          <w:p>
            <w:pPr>
              <w:spacing w:before="0" w:after="120"/>
              <w:jc w:val="center"/>
            </w:pPr>
            <w:r>
              <w:rPr>
                <w:b w:val="0"/>
                <w:i w:val="0"/>
                <w:color w:val="CCF0F0"/>
                <w:sz w:val="16"/>
              </w:rPr>
              <w:t>Search by name, DOB, or MRN</w:t>
            </w:r>
          </w:p>
        </w:tc>
        <w:tc>
          <w:tcPr>
            <w:tcW w:type="dxa" w:w="2045"/>
            <w:shd w:val="clear" w:color="auto" w:fill="006A6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top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FFFFFF"/>
                <w:sz w:val="36"/>
              </w:rPr>
              <w:t>2</w:t>
            </w:r>
          </w:p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Tap Body</w:t>
              <w:br/>
              <w:t>Map</w:t>
            </w:r>
          </w:p>
          <w:p>
            <w:pPr>
              <w:spacing w:before="0" w:after="120"/>
              <w:jc w:val="center"/>
            </w:pPr>
            <w:r>
              <w:rPr>
                <w:b w:val="0"/>
                <w:i w:val="0"/>
                <w:color w:val="CCF0F0"/>
                <w:sz w:val="16"/>
              </w:rPr>
              <w:t>Place a marker at the lesion site</w:t>
            </w:r>
          </w:p>
        </w:tc>
        <w:tc>
          <w:tcPr>
            <w:tcW w:type="dxa" w:w="2045"/>
            <w:shd w:val="clear" w:color="auto" w:fill="008B8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top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FFFFFF"/>
                <w:sz w:val="36"/>
              </w:rPr>
              <w:t>3</w:t>
            </w:r>
          </w:p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Snap</w:t>
              <w:br/>
              <w:t>Photo</w:t>
            </w:r>
          </w:p>
          <w:p>
            <w:pPr>
              <w:spacing w:before="0" w:after="120"/>
              <w:jc w:val="center"/>
            </w:pPr>
            <w:r>
              <w:rPr>
                <w:b w:val="0"/>
                <w:i w:val="0"/>
                <w:color w:val="CCF0F0"/>
                <w:sz w:val="16"/>
              </w:rPr>
              <w:t>Camera opens instantly with framing guide</w:t>
            </w:r>
          </w:p>
        </w:tc>
        <w:tc>
          <w:tcPr>
            <w:tcW w:type="dxa" w:w="2045"/>
            <w:shd w:val="clear" w:color="auto" w:fill="006A6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top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FFFFFF"/>
                <w:sz w:val="36"/>
              </w:rPr>
              <w:t>4</w:t>
            </w:r>
          </w:p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Quick</w:t>
              <w:br/>
              <w:t>Document</w:t>
            </w:r>
          </w:p>
          <w:p>
            <w:pPr>
              <w:spacing w:before="0" w:after="120"/>
              <w:jc w:val="center"/>
            </w:pPr>
            <w:r>
              <w:rPr>
                <w:b w:val="0"/>
                <w:i w:val="0"/>
                <w:color w:val="CCF0F0"/>
                <w:sz w:val="16"/>
              </w:rPr>
              <w:t>Size, color, shape via tap — not typing</w:t>
            </w:r>
          </w:p>
        </w:tc>
        <w:tc>
          <w:tcPr>
            <w:tcW w:type="dxa" w:w="2045"/>
            <w:shd w:val="clear" w:color="auto" w:fill="008B8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top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FFFFFF"/>
                <w:sz w:val="36"/>
              </w:rPr>
              <w:t>5</w:t>
            </w:r>
          </w:p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Visit</w:t>
              <w:br/>
              <w:t>Complete</w:t>
            </w:r>
          </w:p>
          <w:p>
            <w:pPr>
              <w:spacing w:before="0" w:after="120"/>
              <w:jc w:val="center"/>
            </w:pPr>
            <w:r>
              <w:rPr>
                <w:b w:val="0"/>
                <w:i w:val="0"/>
                <w:color w:val="CCF0F0"/>
                <w:sz w:val="16"/>
              </w:rPr>
              <w:t>PDF generated, ready for EHR upload</w:t>
            </w:r>
          </w:p>
        </w:tc>
      </w:tr>
    </w:tbl>
    <w:p>
      <w:pPr>
        <w:jc w:val="center"/>
        <w:spacing w:before="120" w:after="40"/>
        <w:pBdr>
          <w:top w:val="single" w:sz="6" w:space="1" w:color="008B8B"/>
        </w:pBdr>
      </w:pPr>
      <w:r>
        <w:rPr>
          <w:b w:val="0"/>
          <w:i w:val="0"/>
          <w:color w:val="333333"/>
          <w:sz w:val="24"/>
        </w:rPr>
        <w:t xml:space="preserve">Ready to see it in action? </w:t>
      </w:r>
      <w:r>
        <w:rPr>
          <w:b/>
          <w:i w:val="0"/>
          <w:color w:val="006060"/>
          <w:sz w:val="24"/>
        </w:rPr>
        <w:t xml:space="preserve">Schedule a 20-minute demo at dermmap.io </w:t>
      </w:r>
      <w:r>
        <w:rPr>
          <w:b w:val="0"/>
          <w:i w:val="0"/>
          <w:color w:val="333333"/>
          <w:sz w:val="24"/>
        </w:rPr>
        <w:t xml:space="preserve"> or email </w:t>
      </w:r>
      <w:r>
        <w:rPr>
          <w:b/>
          <w:i w:val="0"/>
          <w:color w:val="006060"/>
          <w:sz w:val="24"/>
        </w:rPr>
        <w:t>hello@dermmap.io</w:t>
      </w:r>
    </w:p>
    <w:p>
      <w:pPr>
        <w:jc w:val="center"/>
        <w:spacing w:before="20" w:after="0"/>
      </w:pPr>
      <w:r>
        <w:rPr>
          <w:b w:val="0"/>
          <w:i/>
          <w:color w:val="666666"/>
          <w:sz w:val="18"/>
        </w:rPr>
        <w:t>Purpose-built for dermatology. Loved by MAs. Trusted by physicians. Approved by compliance.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