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2FE7" w14:textId="6B14520B" w:rsidR="00FB248A" w:rsidRDefault="002A5821" w:rsidP="00462BE8">
      <w:pPr>
        <w:spacing w:after="0" w:line="276" w:lineRule="auto"/>
        <w:jc w:val="both"/>
        <w:rPr>
          <w:rFonts w:ascii="Times New Roman" w:hAnsi="Times New Roman" w:cs="Times New Roman"/>
          <w:color w:val="000000"/>
        </w:rPr>
      </w:pPr>
      <w:r w:rsidRPr="00FB248A">
        <w:rPr>
          <w:rFonts w:ascii="Times New Roman" w:hAnsi="Times New Roman" w:cs="Times New Roman"/>
          <w:color w:val="000000"/>
        </w:rPr>
        <w:t xml:space="preserve">Healthcare Services </w:t>
      </w:r>
      <w:r w:rsidR="0029732A">
        <w:rPr>
          <w:rFonts w:ascii="Times New Roman" w:hAnsi="Times New Roman" w:cs="Times New Roman"/>
          <w:color w:val="000000"/>
        </w:rPr>
        <w:t xml:space="preserve">- </w:t>
      </w:r>
      <w:r w:rsidRPr="00FB248A">
        <w:rPr>
          <w:rFonts w:ascii="Times New Roman" w:hAnsi="Times New Roman" w:cs="Times New Roman"/>
          <w:color w:val="000000"/>
        </w:rPr>
        <w:t>Hospitals</w:t>
      </w:r>
      <w:r w:rsidR="00FB248A">
        <w:rPr>
          <w:rFonts w:ascii="Times New Roman" w:hAnsi="Times New Roman" w:cs="Times New Roman"/>
          <w:color w:val="000000"/>
        </w:rPr>
        <w:t>:</w:t>
      </w:r>
    </w:p>
    <w:p w14:paraId="2FC22C36"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This subsector’s function is relatively straightforward. Companies in the hospital services sector provide both inpatient and outpatient care while employing physicians, nurses, and support staff to operate their facilities. These companies own the hospitals themselves as well as the medical equipment used to deliver care. Hospitals generate revenue by charging for procedures such as surgeries, inpatient stays, and diagnostic services like X-ray and imaging scans.</w:t>
      </w:r>
    </w:p>
    <w:p w14:paraId="6CD3A25B" w14:textId="77777777" w:rsidR="007D4E8B" w:rsidRPr="007D4E8B" w:rsidRDefault="007D4E8B" w:rsidP="007D4E8B">
      <w:pPr>
        <w:spacing w:after="0" w:line="276" w:lineRule="auto"/>
        <w:jc w:val="both"/>
        <w:rPr>
          <w:rFonts w:ascii="Times New Roman" w:hAnsi="Times New Roman" w:cs="Times New Roman"/>
          <w:color w:val="000000"/>
        </w:rPr>
      </w:pPr>
    </w:p>
    <w:p w14:paraId="4726DF85"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Patients are generally categorized as either inpatients or outpatients. Inpatients are patients who stay overnight in the hospital, undergo surgery, or receive intensive treatment. Outpatients, by contrast, receive care that does not require an overnight stay, such as same-day procedures, imaging and diagnostic services, or scheduled elective treatments.</w:t>
      </w:r>
    </w:p>
    <w:p w14:paraId="774CDE6A" w14:textId="77777777" w:rsidR="007D4E8B" w:rsidRPr="007D4E8B" w:rsidRDefault="007D4E8B" w:rsidP="007D4E8B">
      <w:pPr>
        <w:spacing w:after="0" w:line="276" w:lineRule="auto"/>
        <w:jc w:val="both"/>
        <w:rPr>
          <w:rFonts w:ascii="Times New Roman" w:hAnsi="Times New Roman" w:cs="Times New Roman"/>
          <w:color w:val="000000"/>
        </w:rPr>
      </w:pPr>
    </w:p>
    <w:p w14:paraId="3959CB3B"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Payment for hospital services is primarily received from commercial insurers, Medicare, and Medicaid, with a smaller portion coming directly from patients through self-pay. Financial performance in this subsector is driven by patient volume, the complexity of care provided, and payer mix. More complex procedures typically command higher reimbursement, while higher patient volumes allow hospitals to better leverage their fixed costs.</w:t>
      </w:r>
    </w:p>
    <w:p w14:paraId="48A10040" w14:textId="77777777" w:rsidR="007D4E8B" w:rsidRPr="007D4E8B" w:rsidRDefault="007D4E8B" w:rsidP="007D4E8B">
      <w:pPr>
        <w:spacing w:after="0" w:line="276" w:lineRule="auto"/>
        <w:jc w:val="both"/>
        <w:rPr>
          <w:rFonts w:ascii="Times New Roman" w:hAnsi="Times New Roman" w:cs="Times New Roman"/>
          <w:color w:val="000000"/>
        </w:rPr>
      </w:pPr>
    </w:p>
    <w:p w14:paraId="44D66F13" w14:textId="77777777" w:rsidR="007D4E8B" w:rsidRP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Payer mix is especially important, as commercial insurers generally reimburse hospitals at higher rates than government programs. When a patient is commercially insured, payment comes from private insurance providers or employer-sponsored health plans. When a patient is covered by the government, reimbursement comes through Medicare, funded by the federal government, or Medicaid, which is jointly funded by state and federal governments and serves lower-income populations.</w:t>
      </w:r>
    </w:p>
    <w:p w14:paraId="609FEC25" w14:textId="60AD4C31" w:rsidR="002A5821" w:rsidRPr="00F93E7D" w:rsidRDefault="002A5821" w:rsidP="00462BE8">
      <w:pPr>
        <w:spacing w:after="0" w:line="276" w:lineRule="auto"/>
        <w:jc w:val="both"/>
        <w:rPr>
          <w:rFonts w:ascii="Times New Roman" w:hAnsi="Times New Roman" w:cs="Times New Roman"/>
          <w:color w:val="000000"/>
        </w:rPr>
      </w:pPr>
    </w:p>
    <w:p w14:paraId="28578880"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HCA Healthcare (HCA) fits into the Healthcare Services subsector as a</w:t>
      </w:r>
      <w:r w:rsidRPr="007D4E8B">
        <w:rPr>
          <w:rFonts w:ascii="Times New Roman" w:hAnsi="Times New Roman" w:cs="Times New Roman"/>
        </w:rPr>
        <w:t> </w:t>
      </w:r>
      <w:r w:rsidRPr="007D4E8B">
        <w:rPr>
          <w:rFonts w:ascii="Times New Roman" w:hAnsi="Times New Roman" w:cs="Times New Roman"/>
          <w:b/>
          <w:bCs/>
        </w:rPr>
        <w:t>scaled hospital operator</w:t>
      </w:r>
      <w:r w:rsidRPr="007D4E8B">
        <w:rPr>
          <w:rFonts w:ascii="Times New Roman" w:hAnsi="Times New Roman" w:cs="Times New Roman"/>
          <w:color w:val="000000"/>
        </w:rPr>
        <w:t>, applying the standard hospital business model across a large network of facilities. The company owns and operates its hospitals, provides care to both inpatient and outpatient populations, employs physicians, nurses, and support staff, and invests heavily in medical equipment and infrastructure. These activities represent the core functions of the hospital services subsector.</w:t>
      </w:r>
    </w:p>
    <w:p w14:paraId="7CAAC5E9" w14:textId="77777777" w:rsidR="007D4E8B" w:rsidRPr="007D4E8B" w:rsidRDefault="007D4E8B" w:rsidP="007D4E8B">
      <w:pPr>
        <w:spacing w:after="0" w:line="276" w:lineRule="auto"/>
        <w:jc w:val="both"/>
        <w:rPr>
          <w:rFonts w:ascii="Times New Roman" w:hAnsi="Times New Roman" w:cs="Times New Roman"/>
          <w:color w:val="000000"/>
        </w:rPr>
      </w:pPr>
    </w:p>
    <w:p w14:paraId="411C4DA6"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At a high level, HCA generates revenue in the same way as hospitals across the subsector. Patients receive care, and payment is made on their behalf by commercial insurers or government programs such as Medicare and Medicaid. This reimbursement flows to HCA, which then uses the revenue to pay labor, purchase supplies, and cover operating expenses. HCA captures value within this model by optimizing execution rather than changing the underlying structure. The company maximizes utilization of its facilities, emphasizes higher-acuity and elective procedures that command greater reimbursement, and leverages scale and operational efficiency to control costs. Together, these factors allow HCA to generate margins that are stronger than those of many smaller or nonprofit hospital operators.</w:t>
      </w:r>
    </w:p>
    <w:p w14:paraId="31AFA0B7" w14:textId="77777777" w:rsidR="007D4E8B" w:rsidRPr="007D4E8B" w:rsidRDefault="007D4E8B" w:rsidP="007D4E8B">
      <w:pPr>
        <w:spacing w:after="0" w:line="276" w:lineRule="auto"/>
        <w:jc w:val="both"/>
        <w:rPr>
          <w:rFonts w:ascii="Times New Roman" w:hAnsi="Times New Roman" w:cs="Times New Roman"/>
          <w:color w:val="000000"/>
        </w:rPr>
      </w:pPr>
    </w:p>
    <w:p w14:paraId="75DBA727" w14:textId="77777777" w:rsidR="007D4E8B" w:rsidRP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The flow of cash begins when a patient enters an HCA facility and receives inpatient or outpatient care. At this stage, no cash is exchanged; instead, the services provided are documented and coded for billing purposes. After care is delivered, HCA submits a claim based on diagnosis codes, procedure codes, length of stay, and the complexity of care provided. These claims are typically sent to one of four payors: commercial insurers, Medicare, Medicaid, or the patient directly.</w:t>
      </w:r>
    </w:p>
    <w:p w14:paraId="06A878CF"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 xml:space="preserve">Reimbursement rates are negotiated in advance with commercial insurers and set by statute for Medicare and Medicaid. Commercial payors generally reimburse at the highest rates, while Medicaid reimburses at the lowest. Once payment is received, accounts receivable </w:t>
      </w:r>
      <w:proofErr w:type="gramStart"/>
      <w:r w:rsidRPr="007D4E8B">
        <w:rPr>
          <w:rFonts w:ascii="Times New Roman" w:hAnsi="Times New Roman" w:cs="Times New Roman"/>
          <w:color w:val="000000"/>
        </w:rPr>
        <w:t>are</w:t>
      </w:r>
      <w:proofErr w:type="gramEnd"/>
      <w:r w:rsidRPr="007D4E8B">
        <w:rPr>
          <w:rFonts w:ascii="Times New Roman" w:hAnsi="Times New Roman" w:cs="Times New Roman"/>
          <w:color w:val="000000"/>
        </w:rPr>
        <w:t xml:space="preserve"> converted into cash, and the funds enter HCA’s operating accounts. During 2024 and 2025, this process generated approximately $70–76 billion in annual patient service revenue.</w:t>
      </w:r>
    </w:p>
    <w:p w14:paraId="5465A999" w14:textId="77777777" w:rsidR="007D4E8B" w:rsidRPr="007D4E8B" w:rsidRDefault="007D4E8B" w:rsidP="007D4E8B">
      <w:pPr>
        <w:spacing w:after="0" w:line="276" w:lineRule="auto"/>
        <w:jc w:val="both"/>
        <w:rPr>
          <w:rFonts w:ascii="Times New Roman" w:hAnsi="Times New Roman" w:cs="Times New Roman"/>
          <w:color w:val="000000"/>
        </w:rPr>
      </w:pPr>
    </w:p>
    <w:p w14:paraId="082F576C"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Once cash is collected, it is used to fund HCA’s day-to-day operations, including employee salaries, medical supplies, utilities, and contracted services. Operating cash flow reflects how efficiently HCA converts patient care into usable cash. The largest single cash outflow is labor, which includes compensation for physicians, nurses, clinical staff, and administrative personnel. In 2025, labor costs exceeded $33 billion. Wage inflation and staffing shortages have increased overtime and reliance on contract labor, directly pressuring margins.</w:t>
      </w:r>
    </w:p>
    <w:p w14:paraId="5BE83CB7" w14:textId="77777777" w:rsidR="007D4E8B" w:rsidRPr="007D4E8B" w:rsidRDefault="007D4E8B" w:rsidP="007D4E8B">
      <w:pPr>
        <w:spacing w:after="0" w:line="276" w:lineRule="auto"/>
        <w:jc w:val="both"/>
        <w:rPr>
          <w:rFonts w:ascii="Times New Roman" w:hAnsi="Times New Roman" w:cs="Times New Roman"/>
          <w:color w:val="000000"/>
        </w:rPr>
      </w:pPr>
    </w:p>
    <w:p w14:paraId="1B3982E2"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The next major outflow is payments to suppliers and vendors, including medical devices, pharmaceuticals, surgical supplies, IT systems, insurance, and utilities. These costs totaled approximately $11.5 billion in 2025. At this stage, HCA benefits from its scale, which allows it to negotiate lower unit costs compared to smaller hospital operators.</w:t>
      </w:r>
    </w:p>
    <w:p w14:paraId="3A13486E" w14:textId="77777777" w:rsidR="007D4E8B" w:rsidRPr="007D4E8B" w:rsidRDefault="007D4E8B" w:rsidP="007D4E8B">
      <w:pPr>
        <w:spacing w:after="0" w:line="276" w:lineRule="auto"/>
        <w:jc w:val="both"/>
        <w:rPr>
          <w:rFonts w:ascii="Times New Roman" w:hAnsi="Times New Roman" w:cs="Times New Roman"/>
          <w:color w:val="000000"/>
        </w:rPr>
      </w:pPr>
    </w:p>
    <w:p w14:paraId="085ED7DF" w14:textId="77777777" w:rsidR="007D4E8B" w:rsidRDefault="007D4E8B" w:rsidP="007D4E8B">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Cash is also used to meet financial obligations, including interest payments on debt and income tax payments. Together, interest and taxes totaled approximately $4.4 billion. After operating and financial obligations are met, HCA reinvests cash into the business through capital expenditures, including new hospitals, facility expansions, equipment upgrades, and technology systems. Capital expenditures totaled approximately $5.0–5.4 billion annually between 2024 and 2025, sustaining the physical infrastructure required to generate future revenue.</w:t>
      </w:r>
    </w:p>
    <w:p w14:paraId="5C795087" w14:textId="77777777" w:rsidR="007D4E8B" w:rsidRPr="007D4E8B" w:rsidRDefault="007D4E8B" w:rsidP="007D4E8B">
      <w:pPr>
        <w:spacing w:after="0" w:line="276" w:lineRule="auto"/>
        <w:jc w:val="both"/>
        <w:rPr>
          <w:rFonts w:ascii="Times New Roman" w:hAnsi="Times New Roman" w:cs="Times New Roman"/>
          <w:color w:val="000000"/>
        </w:rPr>
      </w:pPr>
    </w:p>
    <w:p w14:paraId="01A55372" w14:textId="63936F37" w:rsidR="00FB248A" w:rsidRDefault="007D4E8B" w:rsidP="00462BE8">
      <w:pPr>
        <w:spacing w:after="0" w:line="276" w:lineRule="auto"/>
        <w:jc w:val="both"/>
        <w:rPr>
          <w:rFonts w:ascii="Times New Roman" w:hAnsi="Times New Roman" w:cs="Times New Roman"/>
          <w:color w:val="000000"/>
        </w:rPr>
      </w:pPr>
      <w:r w:rsidRPr="007D4E8B">
        <w:rPr>
          <w:rFonts w:ascii="Times New Roman" w:hAnsi="Times New Roman" w:cs="Times New Roman"/>
          <w:color w:val="000000"/>
        </w:rPr>
        <w:t>Finally, excess cash is returned to shareholders through share repurchases and dividends. In fact, cash spent on buybacks has exceeded spending on new facilities, signaling management’s confidence in the maturity and stability of HCA’s hospital network. When internal cash generation is insufficient or when strategically advantageous, HCA raises external capital through long-term debt issuance or the sale of non-core assets. This external capital supplements operating cash and is used to fund share repurchases, acquisitions, or capital projects.</w:t>
      </w:r>
    </w:p>
    <w:p w14:paraId="03C32B87" w14:textId="77777777" w:rsidR="009368A4" w:rsidRDefault="009368A4" w:rsidP="00462BE8">
      <w:pPr>
        <w:spacing w:after="0" w:line="276" w:lineRule="auto"/>
        <w:jc w:val="both"/>
        <w:rPr>
          <w:rFonts w:ascii="Times New Roman" w:hAnsi="Times New Roman" w:cs="Times New Roman"/>
          <w:color w:val="000000"/>
        </w:rPr>
      </w:pPr>
    </w:p>
    <w:p w14:paraId="784785EB" w14:textId="175877CF" w:rsidR="009368A4" w:rsidRDefault="009368A4" w:rsidP="00462BE8">
      <w:pPr>
        <w:spacing w:after="0" w:line="276" w:lineRule="auto"/>
        <w:jc w:val="both"/>
      </w:pPr>
      <w:r>
        <w:lastRenderedPageBreak/>
        <w:fldChar w:fldCharType="begin"/>
      </w:r>
      <w:r>
        <w:instrText xml:space="preserve"> INCLUDEPICTURE "/Users/kece/Library/Group Containers/UBF8T346G9.ms/WebArchiveCopyPasteTempFiles/com.microsoft.Word/content?id=file_0000000075cc71f5bb114afffab573bc&amp;ts=491765&amp;p=fs&amp;cid=1&amp;sig=d322594168ae9820ae746a35facac0b9fd66300821127e0048201c8c9d4a325a&amp;v=0" \* MERGEFORMATINET </w:instrText>
      </w:r>
      <w:r>
        <w:fldChar w:fldCharType="separate"/>
      </w:r>
      <w:r>
        <w:rPr>
          <w:noProof/>
        </w:rPr>
        <w:drawing>
          <wp:inline distT="0" distB="0" distL="0" distR="0" wp14:anchorId="69D2336E" wp14:editId="50897D77">
            <wp:extent cx="5943600" cy="3963670"/>
            <wp:effectExtent l="0" t="0" r="0" b="0"/>
            <wp:docPr id="45405354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r>
        <w:fldChar w:fldCharType="end"/>
      </w:r>
    </w:p>
    <w:p w14:paraId="66F36B23" w14:textId="61985C8F" w:rsidR="009368A4" w:rsidRPr="00F93E7D" w:rsidRDefault="009368A4" w:rsidP="00462BE8">
      <w:pPr>
        <w:spacing w:after="0" w:line="276" w:lineRule="auto"/>
        <w:jc w:val="both"/>
        <w:rPr>
          <w:rFonts w:ascii="Times New Roman" w:hAnsi="Times New Roman" w:cs="Times New Roman"/>
          <w:color w:val="000000"/>
        </w:rPr>
      </w:pPr>
      <w:r>
        <w:fldChar w:fldCharType="begin"/>
      </w:r>
      <w:r>
        <w:instrText xml:space="preserve"> INCLUDEPICTURE "/Users/kece/Library/Group Containers/UBF8T346G9.ms/WebArchiveCopyPasteTempFiles/com.microsoft.Word/content?id=file_000000002124722f9be7cb73b7987984&amp;ts=491765&amp;p=fs&amp;cid=1&amp;sig=4744c5580c8ac4c68e840fae83d4de396ad7169c831a2fc5f60599c55493fa75&amp;v=0" \* MERGEFORMATINET </w:instrText>
      </w:r>
      <w:r>
        <w:fldChar w:fldCharType="separate"/>
      </w:r>
      <w:r>
        <w:rPr>
          <w:noProof/>
        </w:rPr>
        <w:drawing>
          <wp:inline distT="0" distB="0" distL="0" distR="0" wp14:anchorId="1E50C807" wp14:editId="2D23C6AC">
            <wp:extent cx="5943600" cy="3963670"/>
            <wp:effectExtent l="0" t="0" r="0" b="0"/>
            <wp:docPr id="2084179489"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r>
        <w:fldChar w:fldCharType="end"/>
      </w:r>
    </w:p>
    <w:sectPr w:rsidR="009368A4" w:rsidRPr="00F93E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2AC"/>
    <w:multiLevelType w:val="multilevel"/>
    <w:tmpl w:val="25FEC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5F9F"/>
    <w:multiLevelType w:val="multilevel"/>
    <w:tmpl w:val="6158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55FAE"/>
    <w:multiLevelType w:val="multilevel"/>
    <w:tmpl w:val="E1A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644C6"/>
    <w:multiLevelType w:val="multilevel"/>
    <w:tmpl w:val="3DC6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37493"/>
    <w:multiLevelType w:val="multilevel"/>
    <w:tmpl w:val="0A2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D506B"/>
    <w:multiLevelType w:val="multilevel"/>
    <w:tmpl w:val="D94C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07070">
    <w:abstractNumId w:val="0"/>
  </w:num>
  <w:num w:numId="2" w16cid:durableId="591283889">
    <w:abstractNumId w:val="3"/>
  </w:num>
  <w:num w:numId="3" w16cid:durableId="468864383">
    <w:abstractNumId w:val="2"/>
  </w:num>
  <w:num w:numId="4" w16cid:durableId="2052723677">
    <w:abstractNumId w:val="4"/>
  </w:num>
  <w:num w:numId="5" w16cid:durableId="1046487246">
    <w:abstractNumId w:val="1"/>
  </w:num>
  <w:num w:numId="6" w16cid:durableId="35202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2C9"/>
    <w:rsid w:val="0005160F"/>
    <w:rsid w:val="00060949"/>
    <w:rsid w:val="001A3E15"/>
    <w:rsid w:val="00262DA3"/>
    <w:rsid w:val="0029732A"/>
    <w:rsid w:val="002A5821"/>
    <w:rsid w:val="00462BE8"/>
    <w:rsid w:val="007D4E8B"/>
    <w:rsid w:val="007F12C9"/>
    <w:rsid w:val="007F56A6"/>
    <w:rsid w:val="009368A4"/>
    <w:rsid w:val="009A1E42"/>
    <w:rsid w:val="00B16AB9"/>
    <w:rsid w:val="00B517B1"/>
    <w:rsid w:val="00CF19EE"/>
    <w:rsid w:val="00EE39C3"/>
    <w:rsid w:val="00F47036"/>
    <w:rsid w:val="00F93E7D"/>
    <w:rsid w:val="00FB248A"/>
    <w:rsid w:val="00FB4936"/>
    <w:rsid w:val="00FC5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2F5F7"/>
  <w15:chartTrackingRefBased/>
  <w15:docId w15:val="{24A19F39-E346-BE49-A3CF-F509B7F0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2C9"/>
    <w:rPr>
      <w:rFonts w:eastAsiaTheme="majorEastAsia" w:cstheme="majorBidi"/>
      <w:color w:val="272727" w:themeColor="text1" w:themeTint="D8"/>
    </w:rPr>
  </w:style>
  <w:style w:type="paragraph" w:styleId="Title">
    <w:name w:val="Title"/>
    <w:basedOn w:val="Normal"/>
    <w:next w:val="Normal"/>
    <w:link w:val="TitleChar"/>
    <w:uiPriority w:val="10"/>
    <w:qFormat/>
    <w:rsid w:val="007F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2C9"/>
    <w:pPr>
      <w:spacing w:before="160"/>
      <w:jc w:val="center"/>
    </w:pPr>
    <w:rPr>
      <w:i/>
      <w:iCs/>
      <w:color w:val="404040" w:themeColor="text1" w:themeTint="BF"/>
    </w:rPr>
  </w:style>
  <w:style w:type="character" w:customStyle="1" w:styleId="QuoteChar">
    <w:name w:val="Quote Char"/>
    <w:basedOn w:val="DefaultParagraphFont"/>
    <w:link w:val="Quote"/>
    <w:uiPriority w:val="29"/>
    <w:rsid w:val="007F12C9"/>
    <w:rPr>
      <w:i/>
      <w:iCs/>
      <w:color w:val="404040" w:themeColor="text1" w:themeTint="BF"/>
    </w:rPr>
  </w:style>
  <w:style w:type="paragraph" w:styleId="ListParagraph">
    <w:name w:val="List Paragraph"/>
    <w:basedOn w:val="Normal"/>
    <w:uiPriority w:val="34"/>
    <w:qFormat/>
    <w:rsid w:val="007F12C9"/>
    <w:pPr>
      <w:ind w:left="720"/>
      <w:contextualSpacing/>
    </w:pPr>
  </w:style>
  <w:style w:type="character" w:styleId="IntenseEmphasis">
    <w:name w:val="Intense Emphasis"/>
    <w:basedOn w:val="DefaultParagraphFont"/>
    <w:uiPriority w:val="21"/>
    <w:qFormat/>
    <w:rsid w:val="007F12C9"/>
    <w:rPr>
      <w:i/>
      <w:iCs/>
      <w:color w:val="0F4761" w:themeColor="accent1" w:themeShade="BF"/>
    </w:rPr>
  </w:style>
  <w:style w:type="paragraph" w:styleId="IntenseQuote">
    <w:name w:val="Intense Quote"/>
    <w:basedOn w:val="Normal"/>
    <w:next w:val="Normal"/>
    <w:link w:val="IntenseQuoteChar"/>
    <w:uiPriority w:val="30"/>
    <w:qFormat/>
    <w:rsid w:val="007F1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2C9"/>
    <w:rPr>
      <w:i/>
      <w:iCs/>
      <w:color w:val="0F4761" w:themeColor="accent1" w:themeShade="BF"/>
    </w:rPr>
  </w:style>
  <w:style w:type="character" w:styleId="IntenseReference">
    <w:name w:val="Intense Reference"/>
    <w:basedOn w:val="DefaultParagraphFont"/>
    <w:uiPriority w:val="32"/>
    <w:qFormat/>
    <w:rsid w:val="007F12C9"/>
    <w:rPr>
      <w:b/>
      <w:bCs/>
      <w:smallCaps/>
      <w:color w:val="0F4761" w:themeColor="accent1" w:themeShade="BF"/>
      <w:spacing w:val="5"/>
    </w:rPr>
  </w:style>
  <w:style w:type="character" w:customStyle="1" w:styleId="apple-converted-space">
    <w:name w:val="apple-converted-space"/>
    <w:basedOn w:val="DefaultParagraphFont"/>
    <w:rsid w:val="007F12C9"/>
  </w:style>
  <w:style w:type="paragraph" w:styleId="NormalWeb">
    <w:name w:val="Normal (Web)"/>
    <w:basedOn w:val="Normal"/>
    <w:uiPriority w:val="99"/>
    <w:unhideWhenUsed/>
    <w:rsid w:val="002A58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A58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839</Words>
  <Characters>5131</Characters>
  <Application>Microsoft Office Word</Application>
  <DocSecurity>0</DocSecurity>
  <Lines>80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Bice, Keller</dc:creator>
  <cp:keywords/>
  <dc:description/>
  <cp:lastModifiedBy>Bice, Keller</cp:lastModifiedBy>
  <cp:revision>8</cp:revision>
  <dcterms:created xsi:type="dcterms:W3CDTF">2026-02-05T18:31:00Z</dcterms:created>
  <dcterms:modified xsi:type="dcterms:W3CDTF">2026-02-07T00:23:00Z</dcterms:modified>
</cp:coreProperties>
</file>