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3627D9" w14:textId="77777777" w:rsidR="007B06DB" w:rsidRDefault="00000000">
      <w:pPr>
        <w:pStyle w:val="DocumentTitle"/>
      </w:pPr>
      <w:r>
        <w:t>Mini-Project Guidelines &amp; Rubric</w:t>
      </w:r>
    </w:p>
    <w:p w14:paraId="57A37E81" w14:textId="77777777" w:rsidR="007B06DB" w:rsidRDefault="00000000">
      <w:pPr>
        <w:pBdr>
          <w:bottom w:val="single" w:sz="17" w:space="0" w:color="8D243A"/>
        </w:pBdr>
        <w:spacing w:after="240"/>
      </w:pPr>
      <w:r>
        <w:rPr>
          <w:b/>
          <w:color w:val="58626F"/>
          <w:sz w:val="20"/>
        </w:rPr>
        <w:t>BSE4610 Building Informatics</w:t>
      </w:r>
      <w:r>
        <w:rPr>
          <w:color w:val="58626F"/>
        </w:rPr>
        <w:t xml:space="preserve">   |   20% of final course grade   |   Total: 100 marks</w:t>
      </w:r>
    </w:p>
    <w:p w14:paraId="3639106D" w14:textId="77777777" w:rsidR="007B06DB" w:rsidRDefault="00000000">
      <w:pPr>
        <w:pStyle w:val="SectionHeading"/>
      </w:pPr>
      <w:r>
        <w:t>1. Submission requirements</w:t>
      </w:r>
    </w:p>
    <w:p w14:paraId="4637FF36" w14:textId="77777777" w:rsidR="007B06DB" w:rsidRDefault="00000000">
      <w:pPr>
        <w:spacing w:after="60"/>
        <w:ind w:left="144"/>
      </w:pPr>
      <w:r>
        <w:rPr>
          <w:b/>
        </w:rPr>
        <w:t xml:space="preserve">Submission files:  </w:t>
      </w:r>
      <w:r>
        <w:t>Executable/actionable code and a PowerPoint report.</w:t>
      </w:r>
    </w:p>
    <w:p w14:paraId="6D469DBF" w14:textId="77777777" w:rsidR="007B06DB" w:rsidRDefault="00000000">
      <w:pPr>
        <w:spacing w:after="60"/>
        <w:ind w:left="144"/>
      </w:pPr>
      <w:r>
        <w:rPr>
          <w:b/>
        </w:rPr>
        <w:t xml:space="preserve">Report length:  </w:t>
      </w:r>
      <w:r>
        <w:t>Up to 10 content slides; cover slide(s) are excluded from this limit.</w:t>
      </w:r>
    </w:p>
    <w:p w14:paraId="491E8E24" w14:textId="77777777" w:rsidR="007B06DB" w:rsidRDefault="00000000">
      <w:pPr>
        <w:spacing w:after="60"/>
        <w:ind w:left="144"/>
      </w:pPr>
      <w:r>
        <w:rPr>
          <w:b/>
        </w:rPr>
        <w:t xml:space="preserve">Cover slide:  </w:t>
      </w:r>
      <w:r>
        <w:t>Clearly state your contribution to the work. If the project is completed collaboratively, identify each contributor’s work.</w:t>
      </w:r>
    </w:p>
    <w:p w14:paraId="343FC82E" w14:textId="77777777" w:rsidR="007B06DB" w:rsidRDefault="00000000">
      <w:pPr>
        <w:spacing w:after="60"/>
        <w:ind w:left="144"/>
      </w:pPr>
      <w:r>
        <w:rPr>
          <w:b/>
        </w:rPr>
        <w:t xml:space="preserve">Study location:  </w:t>
      </w:r>
      <w:r>
        <w:t>Select a city other than Bangkok or Shenzhen for the main analysis.</w:t>
      </w:r>
    </w:p>
    <w:p w14:paraId="228B837D" w14:textId="07B41767" w:rsidR="007E1FD1" w:rsidRDefault="007E1FD1">
      <w:pPr>
        <w:spacing w:after="60"/>
        <w:ind w:left="144"/>
      </w:pPr>
      <w:r>
        <w:rPr>
          <w:b/>
        </w:rPr>
        <w:t>AI-use declaration: Identify any AI tools used and their role in the work.</w:t>
      </w:r>
      <w:r w:rsidRPr="007E1FD1">
        <w:rPr>
          <w:bCs/>
        </w:rPr>
      </w:r>
    </w:p>
    <w:p w14:paraId="0DEF6308" w14:textId="77777777" w:rsidR="007B06DB" w:rsidRDefault="00000000">
      <w:pPr>
        <w:pStyle w:val="SectionHeading"/>
      </w:pPr>
      <w:r>
        <w:t>2. Missions and scores</w:t>
      </w:r>
    </w:p>
    <w:tbl>
      <w:tblPr>
        <w:tblW w:w="10040" w:type="dxa"/>
        <w:jc w:val="center"/>
        <w:tblLayout w:type="fixed"/>
        <w:tblLook w:val="04A0" w:firstRow="1" w:lastRow="0" w:firstColumn="1" w:lastColumn="0" w:noHBand="0" w:noVBand="1"/>
      </w:tblPr>
      <w:tblGrid>
        <w:gridCol w:w="8208"/>
        <w:gridCol w:w="1832"/>
      </w:tblGrid>
      <w:tr w:rsidR="007E1FD1" w14:paraId="6BA23877" w14:textId="77777777" w:rsidTr="007E1FD1">
        <w:trPr>
          <w:cantSplit/>
          <w:tblHeader/>
          <w:jc w:val="center"/>
        </w:trPr>
        <w:tc>
          <w:tcPr>
            <w:tcW w:w="8208" w:type="dxa"/>
            <w:shd w:val="clear" w:color="auto" w:fill="76253B"/>
            <w:tcMar>
              <w:top w:w="110" w:type="dxa"/>
              <w:left w:w="105" w:type="dxa"/>
              <w:bottom w:w="110" w:type="dxa"/>
              <w:right w:w="105" w:type="dxa"/>
            </w:tcMar>
            <w:vAlign w:val="center"/>
          </w:tcPr>
          <w:p w14:paraId="0AC7B9B9" w14:textId="77777777" w:rsidR="007E1FD1" w:rsidRDefault="007E1FD1" w:rsidP="007E1FD1">
            <w:pPr>
              <w:spacing w:after="0" w:line="257" w:lineRule="auto"/>
              <w:jc w:val="center"/>
            </w:pPr>
            <w:r>
              <w:rPr>
                <w:b/>
                <w:color w:val="FFFFFF"/>
                <w:sz w:val="17"/>
              </w:rPr>
              <w:t>Assessment task and expected output</w:t>
            </w:r>
          </w:p>
        </w:tc>
        <w:tc>
          <w:tcPr>
            <w:tcW w:w="1832" w:type="dxa"/>
            <w:shd w:val="clear" w:color="auto" w:fill="76253B"/>
            <w:tcMar>
              <w:top w:w="110" w:type="dxa"/>
              <w:left w:w="105" w:type="dxa"/>
              <w:bottom w:w="110" w:type="dxa"/>
              <w:right w:w="105" w:type="dxa"/>
            </w:tcMar>
            <w:vAlign w:val="center"/>
          </w:tcPr>
          <w:p w14:paraId="2B2CAAD3" w14:textId="77777777" w:rsidR="007E1FD1" w:rsidRDefault="007E1FD1" w:rsidP="007E1FD1">
            <w:pPr>
              <w:spacing w:after="0" w:line="257" w:lineRule="auto"/>
              <w:jc w:val="center"/>
            </w:pPr>
            <w:r>
              <w:rPr>
                <w:b/>
                <w:color w:val="FFFFFF"/>
                <w:sz w:val="17"/>
              </w:rPr>
              <w:t>Marks</w:t>
            </w:r>
          </w:p>
        </w:tc>
      </w:tr>
      <w:tr w:rsidR="007E1FD1" w14:paraId="5F5E747E" w14:textId="77777777" w:rsidTr="007E1FD1">
        <w:trPr>
          <w:cantSplit/>
          <w:jc w:val="center"/>
        </w:trPr>
        <w:tc>
          <w:tcPr>
            <w:tcW w:w="8208" w:type="dxa"/>
            <w:tcMar>
              <w:top w:w="85" w:type="dxa"/>
              <w:left w:w="100" w:type="dxa"/>
              <w:bottom w:w="85" w:type="dxa"/>
              <w:right w:w="100" w:type="dxa"/>
            </w:tcMar>
            <w:vAlign w:val="center"/>
          </w:tcPr>
          <w:p w14:paraId="15F854D5" w14:textId="6EA8FAE9" w:rsidR="007E1FD1" w:rsidRDefault="007E1FD1" w:rsidP="007E1FD1">
            <w:pPr>
              <w:pStyle w:val="ae"/>
              <w:numPr>
                <w:ilvl w:val="0"/>
                <w:numId w:val="10"/>
              </w:numPr>
              <w:spacing w:after="0" w:line="257" w:lineRule="auto"/>
            </w:pPr>
            <w:r w:rsidRPr="007E1FD1">
              <w:rPr>
                <w:sz w:val="17"/>
              </w:rPr>
              <w:t>City selection: choose a city other than Bangkok or Shenzhen.</w:t>
            </w:r>
          </w:p>
        </w:tc>
        <w:tc>
          <w:tcPr>
            <w:tcW w:w="1832" w:type="dxa"/>
            <w:tcMar>
              <w:top w:w="85" w:type="dxa"/>
              <w:left w:w="100" w:type="dxa"/>
              <w:bottom w:w="85" w:type="dxa"/>
              <w:right w:w="100" w:type="dxa"/>
            </w:tcMar>
            <w:vAlign w:val="center"/>
          </w:tcPr>
          <w:p w14:paraId="72DB3A74" w14:textId="77777777" w:rsidR="007E1FD1" w:rsidRDefault="007E1FD1">
            <w:pPr>
              <w:spacing w:after="0" w:line="257" w:lineRule="auto"/>
              <w:jc w:val="center"/>
            </w:pPr>
            <w:r>
              <w:rPr>
                <w:b/>
                <w:sz w:val="17"/>
              </w:rPr>
              <w:t>5</w:t>
            </w:r>
          </w:p>
        </w:tc>
      </w:tr>
      <w:tr w:rsidR="007E1FD1" w14:paraId="04CEB17C" w14:textId="77777777" w:rsidTr="007E1FD1">
        <w:trPr>
          <w:cantSplit/>
          <w:jc w:val="center"/>
        </w:trPr>
        <w:tc>
          <w:tcPr>
            <w:tcW w:w="8208" w:type="dxa"/>
            <w:shd w:val="clear" w:color="auto" w:fill="F4F6F8"/>
            <w:tcMar>
              <w:top w:w="85" w:type="dxa"/>
              <w:left w:w="100" w:type="dxa"/>
              <w:bottom w:w="85" w:type="dxa"/>
              <w:right w:w="100" w:type="dxa"/>
            </w:tcMar>
            <w:vAlign w:val="center"/>
          </w:tcPr>
          <w:p w14:paraId="551A919E" w14:textId="6DCF6F67" w:rsidR="007E1FD1" w:rsidRDefault="007E1FD1" w:rsidP="007E1FD1">
            <w:pPr>
              <w:pStyle w:val="ae"/>
              <w:numPr>
                <w:ilvl w:val="0"/>
                <w:numId w:val="10"/>
              </w:numPr>
              <w:spacing w:after="0" w:line="257" w:lineRule="auto"/>
            </w:pPr>
            <w:r w:rsidRPr="007E1FD1">
              <w:rPr>
                <w:sz w:val="17"/>
              </w:rPr>
              <w:t>Solar radiation data visualization: choose ONE of five visualization types.</w:t>
            </w:r>
          </w:p>
        </w:tc>
        <w:tc>
          <w:tcPr>
            <w:tcW w:w="1832" w:type="dxa"/>
            <w:shd w:val="clear" w:color="auto" w:fill="F4F6F8"/>
            <w:tcMar>
              <w:top w:w="85" w:type="dxa"/>
              <w:left w:w="100" w:type="dxa"/>
              <w:bottom w:w="85" w:type="dxa"/>
              <w:right w:w="100" w:type="dxa"/>
            </w:tcMar>
            <w:vAlign w:val="center"/>
          </w:tcPr>
          <w:p w14:paraId="77514B9D" w14:textId="77777777" w:rsidR="007E1FD1" w:rsidRDefault="007E1FD1">
            <w:pPr>
              <w:spacing w:after="0" w:line="257" w:lineRule="auto"/>
              <w:jc w:val="center"/>
            </w:pPr>
            <w:r>
              <w:rPr>
                <w:b/>
                <w:sz w:val="17"/>
              </w:rPr>
              <w:t>5</w:t>
            </w:r>
          </w:p>
        </w:tc>
      </w:tr>
      <w:tr w:rsidR="007E1FD1" w14:paraId="30FDA84A" w14:textId="77777777" w:rsidTr="007E1FD1">
        <w:trPr>
          <w:cantSplit/>
          <w:jc w:val="center"/>
        </w:trPr>
        <w:tc>
          <w:tcPr>
            <w:tcW w:w="8208" w:type="dxa"/>
            <w:tcMar>
              <w:top w:w="85" w:type="dxa"/>
              <w:left w:w="100" w:type="dxa"/>
              <w:bottom w:w="85" w:type="dxa"/>
              <w:right w:w="100" w:type="dxa"/>
            </w:tcMar>
            <w:vAlign w:val="center"/>
          </w:tcPr>
          <w:p w14:paraId="0ADBA80F" w14:textId="0676B5F4" w:rsidR="007E1FD1" w:rsidRDefault="007E1FD1" w:rsidP="007E1FD1">
            <w:pPr>
              <w:pStyle w:val="ae"/>
              <w:numPr>
                <w:ilvl w:val="0"/>
                <w:numId w:val="10"/>
              </w:numPr>
              <w:spacing w:after="0" w:line="257" w:lineRule="auto"/>
            </w:pPr>
            <w:r w:rsidRPr="007E1FD1">
              <w:rPr>
                <w:sz w:val="17"/>
              </w:rPr>
              <w:t>Plane-of-array (POA) analysis for fixed and tracking PV: select TWO of four visualization types (Section 3). Scoring: 2 types × 3 marks × 2 configurations.</w:t>
            </w:r>
          </w:p>
        </w:tc>
        <w:tc>
          <w:tcPr>
            <w:tcW w:w="1832" w:type="dxa"/>
            <w:tcMar>
              <w:top w:w="85" w:type="dxa"/>
              <w:left w:w="100" w:type="dxa"/>
              <w:bottom w:w="85" w:type="dxa"/>
              <w:right w:w="100" w:type="dxa"/>
            </w:tcMar>
            <w:vAlign w:val="center"/>
          </w:tcPr>
          <w:p w14:paraId="27CAFAA1" w14:textId="77777777" w:rsidR="007E1FD1" w:rsidRDefault="007E1FD1">
            <w:pPr>
              <w:spacing w:after="0" w:line="257" w:lineRule="auto"/>
              <w:jc w:val="center"/>
            </w:pPr>
            <w:r>
              <w:rPr>
                <w:b/>
                <w:sz w:val="17"/>
              </w:rPr>
              <w:t>12</w:t>
            </w:r>
          </w:p>
        </w:tc>
      </w:tr>
      <w:tr w:rsidR="007E1FD1" w14:paraId="5D0942CA" w14:textId="77777777" w:rsidTr="007E1FD1">
        <w:trPr>
          <w:cantSplit/>
          <w:jc w:val="center"/>
        </w:trPr>
        <w:tc>
          <w:tcPr>
            <w:tcW w:w="8208" w:type="dxa"/>
            <w:shd w:val="clear" w:color="auto" w:fill="F4F6F8"/>
            <w:tcMar>
              <w:top w:w="85" w:type="dxa"/>
              <w:left w:w="100" w:type="dxa"/>
              <w:bottom w:w="85" w:type="dxa"/>
              <w:right w:w="100" w:type="dxa"/>
            </w:tcMar>
            <w:vAlign w:val="center"/>
          </w:tcPr>
          <w:p w14:paraId="1153096C" w14:textId="0BA1AE8A" w:rsidR="007E1FD1" w:rsidRDefault="007E1FD1" w:rsidP="007E1FD1">
            <w:pPr>
              <w:pStyle w:val="ae"/>
              <w:numPr>
                <w:ilvl w:val="0"/>
                <w:numId w:val="10"/>
              </w:numPr>
              <w:spacing w:after="0" w:line="257" w:lineRule="auto"/>
            </w:pPr>
            <w:r w:rsidRPr="007E1FD1">
              <w:rPr>
                <w:sz w:val="17"/>
              </w:rPr>
              <w:t>Comparison of daily average POA for fixed versus tracking PV.</w:t>
            </w:r>
          </w:p>
        </w:tc>
        <w:tc>
          <w:tcPr>
            <w:tcW w:w="1832" w:type="dxa"/>
            <w:shd w:val="clear" w:color="auto" w:fill="F4F6F8"/>
            <w:tcMar>
              <w:top w:w="85" w:type="dxa"/>
              <w:left w:w="100" w:type="dxa"/>
              <w:bottom w:w="85" w:type="dxa"/>
              <w:right w:w="100" w:type="dxa"/>
            </w:tcMar>
            <w:vAlign w:val="center"/>
          </w:tcPr>
          <w:p w14:paraId="399D27B6" w14:textId="77777777" w:rsidR="007E1FD1" w:rsidRDefault="007E1FD1">
            <w:pPr>
              <w:spacing w:after="0" w:line="257" w:lineRule="auto"/>
              <w:jc w:val="center"/>
            </w:pPr>
            <w:r>
              <w:rPr>
                <w:b/>
                <w:sz w:val="17"/>
              </w:rPr>
              <w:t>3</w:t>
            </w:r>
          </w:p>
        </w:tc>
      </w:tr>
      <w:tr w:rsidR="007E1FD1" w14:paraId="50B7607F" w14:textId="77777777" w:rsidTr="007E1FD1">
        <w:trPr>
          <w:cantSplit/>
          <w:jc w:val="center"/>
        </w:trPr>
        <w:tc>
          <w:tcPr>
            <w:tcW w:w="8208" w:type="dxa"/>
            <w:tcMar>
              <w:top w:w="85" w:type="dxa"/>
              <w:left w:w="100" w:type="dxa"/>
              <w:bottom w:w="85" w:type="dxa"/>
              <w:right w:w="100" w:type="dxa"/>
            </w:tcMar>
            <w:vAlign w:val="center"/>
          </w:tcPr>
          <w:p w14:paraId="00473229" w14:textId="51D2F095" w:rsidR="007E1FD1" w:rsidRDefault="007E1FD1" w:rsidP="007E1FD1">
            <w:pPr>
              <w:pStyle w:val="ae"/>
              <w:numPr>
                <w:ilvl w:val="0"/>
                <w:numId w:val="10"/>
              </w:numPr>
              <w:spacing w:after="0" w:line="257" w:lineRule="auto"/>
            </w:pPr>
            <w:r w:rsidRPr="007E1FD1">
              <w:rPr>
                <w:sz w:val="17"/>
              </w:rPr>
              <w:t>PV output calculation and visualization: compare daily average power output for fixed and tracking PV.</w:t>
            </w:r>
          </w:p>
        </w:tc>
        <w:tc>
          <w:tcPr>
            <w:tcW w:w="1832" w:type="dxa"/>
            <w:tcMar>
              <w:top w:w="85" w:type="dxa"/>
              <w:left w:w="100" w:type="dxa"/>
              <w:bottom w:w="85" w:type="dxa"/>
              <w:right w:w="100" w:type="dxa"/>
            </w:tcMar>
            <w:vAlign w:val="center"/>
          </w:tcPr>
          <w:p w14:paraId="465BF449" w14:textId="77777777" w:rsidR="007E1FD1" w:rsidRDefault="007E1FD1">
            <w:pPr>
              <w:spacing w:after="0" w:line="257" w:lineRule="auto"/>
              <w:jc w:val="center"/>
            </w:pPr>
            <w:r>
              <w:rPr>
                <w:b/>
                <w:sz w:val="17"/>
              </w:rPr>
              <w:t>5</w:t>
            </w:r>
          </w:p>
        </w:tc>
      </w:tr>
      <w:tr w:rsidR="007E1FD1" w14:paraId="1BFCEF7A" w14:textId="77777777" w:rsidTr="007E1FD1">
        <w:trPr>
          <w:cantSplit/>
          <w:jc w:val="center"/>
        </w:trPr>
        <w:tc>
          <w:tcPr>
            <w:tcW w:w="8208" w:type="dxa"/>
            <w:shd w:val="clear" w:color="auto" w:fill="F4F6F8"/>
            <w:tcMar>
              <w:top w:w="85" w:type="dxa"/>
              <w:left w:w="100" w:type="dxa"/>
              <w:bottom w:w="85" w:type="dxa"/>
              <w:right w:w="100" w:type="dxa"/>
            </w:tcMar>
            <w:vAlign w:val="center"/>
          </w:tcPr>
          <w:p w14:paraId="163D8082" w14:textId="353E545D" w:rsidR="007E1FD1" w:rsidRDefault="007E1FD1" w:rsidP="007E1FD1">
            <w:pPr>
              <w:pStyle w:val="ae"/>
              <w:numPr>
                <w:ilvl w:val="0"/>
                <w:numId w:val="10"/>
              </w:numPr>
              <w:spacing w:after="0" w:line="257" w:lineRule="auto"/>
            </w:pPr>
            <w:r w:rsidRPr="007E1FD1">
              <w:rPr>
                <w:sz w:val="17"/>
              </w:rPr>
              <w:t>Building analysis: building footprints with rooftop PV potential.</w:t>
            </w:r>
          </w:p>
        </w:tc>
        <w:tc>
          <w:tcPr>
            <w:tcW w:w="1832" w:type="dxa"/>
            <w:shd w:val="clear" w:color="auto" w:fill="F4F6F8"/>
            <w:tcMar>
              <w:top w:w="85" w:type="dxa"/>
              <w:left w:w="100" w:type="dxa"/>
              <w:bottom w:w="85" w:type="dxa"/>
              <w:right w:w="100" w:type="dxa"/>
            </w:tcMar>
            <w:vAlign w:val="center"/>
          </w:tcPr>
          <w:p w14:paraId="5077B8E4" w14:textId="77777777" w:rsidR="007E1FD1" w:rsidRDefault="007E1FD1">
            <w:pPr>
              <w:spacing w:after="0" w:line="257" w:lineRule="auto"/>
              <w:jc w:val="center"/>
            </w:pPr>
            <w:r>
              <w:rPr>
                <w:b/>
                <w:sz w:val="17"/>
              </w:rPr>
              <w:t>5</w:t>
            </w:r>
          </w:p>
        </w:tc>
      </w:tr>
      <w:tr w:rsidR="007E1FD1" w14:paraId="29206CEC" w14:textId="77777777" w:rsidTr="007E1FD1">
        <w:trPr>
          <w:cantSplit/>
          <w:jc w:val="center"/>
        </w:trPr>
        <w:tc>
          <w:tcPr>
            <w:tcW w:w="8208" w:type="dxa"/>
            <w:tcMar>
              <w:top w:w="85" w:type="dxa"/>
              <w:left w:w="100" w:type="dxa"/>
              <w:bottom w:w="85" w:type="dxa"/>
              <w:right w:w="100" w:type="dxa"/>
            </w:tcMar>
            <w:vAlign w:val="center"/>
          </w:tcPr>
          <w:p w14:paraId="17E6E0B2" w14:textId="3194F5C9" w:rsidR="007E1FD1" w:rsidRDefault="007E1FD1" w:rsidP="007E1FD1">
            <w:pPr>
              <w:pStyle w:val="ae"/>
              <w:numPr>
                <w:ilvl w:val="0"/>
                <w:numId w:val="10"/>
              </w:numPr>
              <w:spacing w:after="0" w:line="257" w:lineRule="auto"/>
            </w:pPr>
            <w:r w:rsidRPr="007E1FD1">
              <w:rPr>
                <w:sz w:val="17"/>
              </w:rPr>
              <w:t>Calculate total annual PV energy for the whole study region and plot annual energy distribution by building ID (X-axis: building ID).</w:t>
            </w:r>
          </w:p>
        </w:tc>
        <w:tc>
          <w:tcPr>
            <w:tcW w:w="1832" w:type="dxa"/>
            <w:tcMar>
              <w:top w:w="85" w:type="dxa"/>
              <w:left w:w="100" w:type="dxa"/>
              <w:bottom w:w="85" w:type="dxa"/>
              <w:right w:w="100" w:type="dxa"/>
            </w:tcMar>
            <w:vAlign w:val="center"/>
          </w:tcPr>
          <w:p w14:paraId="0F46C5D6" w14:textId="77777777" w:rsidR="007E1FD1" w:rsidRDefault="007E1FD1">
            <w:pPr>
              <w:spacing w:after="0" w:line="257" w:lineRule="auto"/>
              <w:jc w:val="center"/>
            </w:pPr>
            <w:r>
              <w:rPr>
                <w:b/>
                <w:sz w:val="17"/>
              </w:rPr>
              <w:t>5</w:t>
            </w:r>
          </w:p>
        </w:tc>
      </w:tr>
      <w:tr w:rsidR="007E1FD1" w14:paraId="31CA234C" w14:textId="77777777" w:rsidTr="007E1FD1">
        <w:trPr>
          <w:cantSplit/>
          <w:jc w:val="center"/>
        </w:trPr>
        <w:tc>
          <w:tcPr>
            <w:tcW w:w="8208" w:type="dxa"/>
            <w:shd w:val="clear" w:color="auto" w:fill="F4F6F8"/>
            <w:tcMar>
              <w:top w:w="85" w:type="dxa"/>
              <w:left w:w="100" w:type="dxa"/>
              <w:bottom w:w="85" w:type="dxa"/>
              <w:right w:w="100" w:type="dxa"/>
            </w:tcMar>
            <w:vAlign w:val="center"/>
          </w:tcPr>
          <w:p w14:paraId="70FEEBB6" w14:textId="1FA218DC" w:rsidR="007E1FD1" w:rsidRDefault="007E1FD1" w:rsidP="007E1FD1">
            <w:pPr>
              <w:pStyle w:val="ae"/>
              <w:numPr>
                <w:ilvl w:val="0"/>
                <w:numId w:val="10"/>
              </w:numPr>
              <w:spacing w:after="0" w:line="257" w:lineRule="auto"/>
            </w:pPr>
            <w:r w:rsidRPr="007E1FD1">
              <w:rPr>
                <w:sz w:val="17"/>
              </w:rPr>
              <w:t>Calculate regional PV energy per square metre of roof footprint (kWh/m²).</w:t>
            </w:r>
          </w:p>
        </w:tc>
        <w:tc>
          <w:tcPr>
            <w:tcW w:w="1832" w:type="dxa"/>
            <w:shd w:val="clear" w:color="auto" w:fill="F4F6F8"/>
            <w:tcMar>
              <w:top w:w="85" w:type="dxa"/>
              <w:left w:w="100" w:type="dxa"/>
              <w:bottom w:w="85" w:type="dxa"/>
              <w:right w:w="100" w:type="dxa"/>
            </w:tcMar>
            <w:vAlign w:val="center"/>
          </w:tcPr>
          <w:p w14:paraId="7EA59821" w14:textId="77777777" w:rsidR="007E1FD1" w:rsidRDefault="007E1FD1">
            <w:pPr>
              <w:spacing w:after="0" w:line="257" w:lineRule="auto"/>
              <w:jc w:val="center"/>
            </w:pPr>
            <w:r>
              <w:rPr>
                <w:b/>
                <w:sz w:val="17"/>
              </w:rPr>
              <w:t>5</w:t>
            </w:r>
          </w:p>
        </w:tc>
      </w:tr>
      <w:tr w:rsidR="007E1FD1" w14:paraId="35796208" w14:textId="77777777" w:rsidTr="007E1FD1">
        <w:trPr>
          <w:cantSplit/>
          <w:jc w:val="center"/>
        </w:trPr>
        <w:tc>
          <w:tcPr>
            <w:tcW w:w="8208" w:type="dxa"/>
            <w:tcMar>
              <w:top w:w="85" w:type="dxa"/>
              <w:left w:w="100" w:type="dxa"/>
              <w:bottom w:w="85" w:type="dxa"/>
              <w:right w:w="100" w:type="dxa"/>
            </w:tcMar>
            <w:vAlign w:val="center"/>
          </w:tcPr>
          <w:p w14:paraId="7CF9AC46" w14:textId="62E52DA9" w:rsidR="007E1FD1" w:rsidRDefault="007E1FD1" w:rsidP="007E1FD1">
            <w:pPr>
              <w:pStyle w:val="ae"/>
              <w:numPr>
                <w:ilvl w:val="0"/>
                <w:numId w:val="10"/>
              </w:numPr>
              <w:spacing w:after="0" w:line="257" w:lineRule="auto"/>
            </w:pPr>
            <w:r w:rsidRPr="007E1FD1">
              <w:rPr>
                <w:sz w:val="17"/>
              </w:rPr>
              <w:t>Convert a selected building to a tracking PV configuration and display its annual energy distribution.</w:t>
            </w:r>
          </w:p>
        </w:tc>
        <w:tc>
          <w:tcPr>
            <w:tcW w:w="1832" w:type="dxa"/>
            <w:tcMar>
              <w:top w:w="85" w:type="dxa"/>
              <w:left w:w="100" w:type="dxa"/>
              <w:bottom w:w="85" w:type="dxa"/>
              <w:right w:w="100" w:type="dxa"/>
            </w:tcMar>
            <w:vAlign w:val="center"/>
          </w:tcPr>
          <w:p w14:paraId="1152EDCC" w14:textId="77777777" w:rsidR="007E1FD1" w:rsidRDefault="007E1FD1">
            <w:pPr>
              <w:spacing w:after="0" w:line="257" w:lineRule="auto"/>
              <w:jc w:val="center"/>
            </w:pPr>
            <w:r>
              <w:rPr>
                <w:b/>
                <w:sz w:val="17"/>
              </w:rPr>
              <w:t>5</w:t>
            </w:r>
          </w:p>
        </w:tc>
      </w:tr>
      <w:tr w:rsidR="007E1FD1" w14:paraId="7C1F9421" w14:textId="77777777" w:rsidTr="007E1FD1">
        <w:trPr>
          <w:cantSplit/>
          <w:jc w:val="center"/>
        </w:trPr>
        <w:tc>
          <w:tcPr>
            <w:tcW w:w="8208" w:type="dxa"/>
            <w:shd w:val="clear" w:color="auto" w:fill="F4F6F8"/>
            <w:tcMar>
              <w:top w:w="85" w:type="dxa"/>
              <w:left w:w="100" w:type="dxa"/>
              <w:bottom w:w="85" w:type="dxa"/>
              <w:right w:w="100" w:type="dxa"/>
            </w:tcMar>
            <w:vAlign w:val="center"/>
          </w:tcPr>
          <w:p w14:paraId="3D85959E" w14:textId="6D9C53E2" w:rsidR="007E1FD1" w:rsidRDefault="007E1FD1" w:rsidP="007E1FD1">
            <w:pPr>
              <w:pStyle w:val="ae"/>
              <w:numPr>
                <w:ilvl w:val="0"/>
                <w:numId w:val="10"/>
              </w:numPr>
              <w:spacing w:after="0" w:line="257" w:lineRule="auto"/>
            </w:pPr>
            <w:r w:rsidRPr="007E1FD1">
              <w:rPr>
                <w:sz w:val="17"/>
              </w:rPr>
              <w:t>Visual quality and original insights: complete ONE extension (cross-city comparison, clustering, OR prediction). See Section 4 for the 50-mark rubric.</w:t>
            </w:r>
          </w:p>
        </w:tc>
        <w:tc>
          <w:tcPr>
            <w:tcW w:w="1832" w:type="dxa"/>
            <w:shd w:val="clear" w:color="auto" w:fill="F4F6F8"/>
            <w:tcMar>
              <w:top w:w="85" w:type="dxa"/>
              <w:left w:w="100" w:type="dxa"/>
              <w:bottom w:w="85" w:type="dxa"/>
              <w:right w:w="100" w:type="dxa"/>
            </w:tcMar>
            <w:vAlign w:val="center"/>
          </w:tcPr>
          <w:p w14:paraId="48C9ADDB" w14:textId="77777777" w:rsidR="007E1FD1" w:rsidRDefault="007E1FD1">
            <w:pPr>
              <w:spacing w:after="0" w:line="257" w:lineRule="auto"/>
              <w:jc w:val="center"/>
            </w:pPr>
            <w:r>
              <w:rPr>
                <w:b/>
                <w:sz w:val="17"/>
              </w:rPr>
              <w:t>50</w:t>
            </w:r>
          </w:p>
        </w:tc>
      </w:tr>
      <w:tr w:rsidR="007E1FD1" w14:paraId="64051B75" w14:textId="77777777" w:rsidTr="007E1FD1">
        <w:trPr>
          <w:cantSplit/>
          <w:jc w:val="center"/>
        </w:trPr>
        <w:tc>
          <w:tcPr>
            <w:tcW w:w="8208" w:type="dxa"/>
            <w:shd w:val="clear" w:color="auto" w:fill="F8EEF1"/>
            <w:tcMar>
              <w:top w:w="100" w:type="dxa"/>
              <w:left w:w="100" w:type="dxa"/>
              <w:bottom w:w="100" w:type="dxa"/>
              <w:right w:w="100" w:type="dxa"/>
            </w:tcMar>
            <w:vAlign w:val="center"/>
          </w:tcPr>
          <w:p w14:paraId="4B2FAC00" w14:textId="77777777" w:rsidR="007E1FD1" w:rsidRDefault="007E1FD1">
            <w:pPr>
              <w:spacing w:after="0" w:line="257" w:lineRule="auto"/>
            </w:pPr>
            <w:r>
              <w:rPr>
                <w:b/>
                <w:color w:val="751426"/>
                <w:sz w:val="18"/>
              </w:rPr>
              <w:t>TOTAL</w:t>
            </w:r>
          </w:p>
        </w:tc>
        <w:tc>
          <w:tcPr>
            <w:tcW w:w="1832" w:type="dxa"/>
            <w:shd w:val="clear" w:color="auto" w:fill="F8EEF1"/>
            <w:tcMar>
              <w:top w:w="100" w:type="dxa"/>
              <w:left w:w="100" w:type="dxa"/>
              <w:bottom w:w="100" w:type="dxa"/>
              <w:right w:w="100" w:type="dxa"/>
            </w:tcMar>
            <w:vAlign w:val="center"/>
          </w:tcPr>
          <w:p w14:paraId="7EE64C2B" w14:textId="77777777" w:rsidR="007E1FD1" w:rsidRDefault="007E1FD1">
            <w:pPr>
              <w:spacing w:after="0" w:line="257" w:lineRule="auto"/>
              <w:jc w:val="center"/>
            </w:pPr>
            <w:r>
              <w:rPr>
                <w:b/>
                <w:color w:val="751426"/>
                <w:sz w:val="18"/>
              </w:rPr>
              <w:t>100</w:t>
            </w:r>
          </w:p>
        </w:tc>
      </w:tr>
    </w:tbl>
    <w:p w14:paraId="32FB51DD" w14:textId="77777777" w:rsidR="007B06DB" w:rsidRDefault="00000000">
      <w:pPr>
        <w:spacing w:before="100" w:after="0"/>
      </w:pPr>
      <w:r>
        <w:rPr>
          <w:b/>
          <w:color w:val="751426"/>
        </w:rPr>
        <w:t xml:space="preserve">Scoring note  </w:t>
      </w:r>
      <w:r>
        <w:t>Items 1–9 = 50 marks; item 10 = 50 marks. Together they form the 100-mark mini-project score.</w:t>
      </w:r>
    </w:p>
    <w:p w14:paraId="6E805683" w14:textId="77777777" w:rsidR="007B06DB" w:rsidRDefault="00000000">
      <w:r>
        <w:br w:type="page"/>
      </w:r>
    </w:p>
    <w:p w14:paraId="4C83C784" w14:textId="77777777" w:rsidR="007B06DB" w:rsidRDefault="00000000">
      <w:pPr>
        <w:pStyle w:val="SectionHeading"/>
      </w:pPr>
      <w:r>
        <w:lastRenderedPageBreak/>
        <w:t>3. Task choices and output guidance</w:t>
      </w:r>
    </w:p>
    <w:p w14:paraId="7689EA64" w14:textId="77777777" w:rsidR="007B06DB" w:rsidRDefault="00000000">
      <w:pPr>
        <w:spacing w:after="60"/>
        <w:ind w:left="115"/>
      </w:pPr>
      <w:r>
        <w:rPr>
          <w:b/>
        </w:rPr>
        <w:t xml:space="preserve">Item 2 | Solar radiation visualization (choose ONE, 5 marks)  </w:t>
      </w:r>
      <w:r>
        <w:t>Solar radiation on one day; average daily solar radiation components throughout the year; monthly average daily solar radiation profiles; monthly average solar radiation components; OR seasonal average solar radiation components.</w:t>
      </w:r>
    </w:p>
    <w:p w14:paraId="23F1FD8F" w14:textId="77777777" w:rsidR="007B06DB" w:rsidRDefault="00000000">
      <w:pPr>
        <w:spacing w:after="60"/>
        <w:ind w:left="115"/>
      </w:pPr>
      <w:r>
        <w:rPr>
          <w:b/>
        </w:rPr>
        <w:t xml:space="preserve">Item 3 | POA analysis (choose TWO types, 12 marks)  </w:t>
      </w:r>
      <w:r>
        <w:t>POA components on one day; average daily POA components throughout the year; monthly average POA components; OR seasonal average POA components. Show both fixed and tracking cases for each selected type.</w:t>
      </w:r>
    </w:p>
    <w:p w14:paraId="2DA46D14" w14:textId="77777777" w:rsidR="007B06DB" w:rsidRDefault="00000000">
      <w:pPr>
        <w:spacing w:before="100" w:after="40"/>
      </w:pPr>
      <w:r>
        <w:rPr>
          <w:b/>
          <w:color w:val="751426"/>
        </w:rPr>
        <w:t xml:space="preserve">Presentation guidance. </w:t>
      </w:r>
      <w:r>
        <w:t>Use clearly labelled axes, appropriate units, informative captions, and consistent assumptions when comparing fixed and tracking systems. State data sources and main modelling assumptions so that your results can be interpreted.</w:t>
      </w:r>
    </w:p>
    <w:p w14:paraId="17F961A0" w14:textId="77777777" w:rsidR="007B06DB" w:rsidRDefault="00000000">
      <w:pPr>
        <w:pStyle w:val="SectionHeading"/>
      </w:pPr>
      <w:r>
        <w:t>4. Extension: visual quality and original insights (50 marks)</w:t>
      </w:r>
    </w:p>
    <w:p w14:paraId="5522E3EE" w14:textId="77777777" w:rsidR="007B06DB" w:rsidRDefault="00000000">
      <w:pPr>
        <w:spacing w:after="120"/>
      </w:pPr>
      <w:r>
        <w:t>Choose ONE of the following directions. The extension should build on the core solar/PV analysis and lead to interpretable findings, not only additional figures.</w:t>
      </w:r>
    </w:p>
    <w:p w14:paraId="368F1321" w14:textId="77777777" w:rsidR="007B06DB" w:rsidRDefault="00000000">
      <w:pPr>
        <w:ind w:left="187"/>
      </w:pPr>
      <w:r>
        <w:rPr>
          <w:b/>
        </w:rPr>
        <w:t xml:space="preserve">A. Compare different cities. </w:t>
      </w:r>
      <w:r>
        <w:t>Compare solar resources or PV potential across at least two cities. Keep metrics, time periods, assumptions and units consistent; explain the main differences and likely drivers.</w:t>
      </w:r>
    </w:p>
    <w:p w14:paraId="29DDA185" w14:textId="77777777" w:rsidR="007B06DB" w:rsidRDefault="00000000">
      <w:pPr>
        <w:ind w:left="187"/>
      </w:pPr>
      <w:r>
        <w:rPr>
          <w:b/>
        </w:rPr>
        <w:t xml:space="preserve">B. Clustering. </w:t>
      </w:r>
      <w:r>
        <w:t>Group buildings, time periods or other relevant observations using selected features. Explain the feature choice, visualise the resulting groups and interpret what distinguishes them.</w:t>
      </w:r>
    </w:p>
    <w:p w14:paraId="368A3E90" w14:textId="77777777" w:rsidR="007B06DB" w:rsidRDefault="00000000">
      <w:pPr>
        <w:ind w:left="187"/>
      </w:pPr>
      <w:r>
        <w:rPr>
          <w:b/>
        </w:rPr>
        <w:t xml:space="preserve">C. Prediction. </w:t>
      </w:r>
      <w:r>
        <w:t>Predict a relevant solar or PV variable using an appropriate model. Explain inputs and target, evaluate performance on data not used for fitting, and discuss where predictions are reliable or uncertain.</w:t>
      </w:r>
    </w:p>
    <w:p w14:paraId="708EEC95" w14:textId="77777777" w:rsidR="007B06DB" w:rsidRDefault="00000000">
      <w:pPr>
        <w:pStyle w:val="Subhead"/>
        <w:spacing w:before="100"/>
      </w:pPr>
      <w:r>
        <w:t>Detailed 50-mark rubric</w:t>
      </w:r>
    </w:p>
    <w:tbl>
      <w:tblPr>
        <w:tblW w:w="9639" w:type="dxa"/>
        <w:tblInd w:w="108" w:type="dxa"/>
        <w:tblLayout w:type="fixed"/>
        <w:tblLook w:val="04A0" w:firstRow="1" w:lastRow="0" w:firstColumn="1" w:lastColumn="0" w:noHBand="0" w:noVBand="1"/>
      </w:tblPr>
      <w:tblGrid>
        <w:gridCol w:w="1888"/>
        <w:gridCol w:w="5909"/>
        <w:gridCol w:w="1842"/>
      </w:tblGrid>
      <w:tr w:rsidR="00F32EED" w14:paraId="1A76C52A" w14:textId="77777777" w:rsidTr="00F32EED">
        <w:trPr>
          <w:cantSplit/>
          <w:tblHeader/>
        </w:trPr>
        <w:tc>
          <w:tcPr>
            <w:tcW w:w="1888" w:type="dxa"/>
            <w:shd w:val="clear" w:color="auto" w:fill="76253B"/>
            <w:vAlign w:val="center"/>
          </w:tcPr>
          <w:p w14:paraId="26D66026" w14:textId="1304BE78" w:rsidR="00F32EED" w:rsidRDefault="00F32EED" w:rsidP="00F32EED">
            <w:pPr>
              <w:spacing w:after="0" w:line="257" w:lineRule="auto"/>
              <w:jc w:val="center"/>
              <w:rPr>
                <w:b/>
                <w:color w:val="FFFFFF"/>
                <w:sz w:val="17"/>
              </w:rPr>
            </w:pPr>
            <w:r>
              <w:rPr>
                <w:b/>
                <w:color w:val="FFFFFF"/>
                <w:sz w:val="17"/>
              </w:rPr>
              <w:t>Criterion</w:t>
            </w:r>
          </w:p>
        </w:tc>
        <w:tc>
          <w:tcPr>
            <w:tcW w:w="5909" w:type="dxa"/>
            <w:shd w:val="clear" w:color="auto" w:fill="76253B"/>
            <w:tcMar>
              <w:top w:w="105" w:type="dxa"/>
              <w:left w:w="90" w:type="dxa"/>
              <w:bottom w:w="105" w:type="dxa"/>
              <w:right w:w="90" w:type="dxa"/>
            </w:tcMar>
            <w:vAlign w:val="center"/>
          </w:tcPr>
          <w:p w14:paraId="2AA4439D" w14:textId="1DAD5596" w:rsidR="00F32EED" w:rsidRDefault="00F32EED" w:rsidP="00F32EED">
            <w:pPr>
              <w:spacing w:after="0" w:line="257" w:lineRule="auto"/>
              <w:jc w:val="center"/>
            </w:pPr>
            <w:r>
              <w:rPr>
                <w:b/>
                <w:color w:val="FFFFFF"/>
                <w:sz w:val="17"/>
              </w:rPr>
              <w:t>What is assessed</w:t>
            </w:r>
          </w:p>
        </w:tc>
        <w:tc>
          <w:tcPr>
            <w:tcW w:w="1842" w:type="dxa"/>
            <w:shd w:val="clear" w:color="auto" w:fill="76253B"/>
            <w:tcMar>
              <w:top w:w="105" w:type="dxa"/>
              <w:left w:w="90" w:type="dxa"/>
              <w:bottom w:w="105" w:type="dxa"/>
              <w:right w:w="90" w:type="dxa"/>
            </w:tcMar>
            <w:vAlign w:val="center"/>
          </w:tcPr>
          <w:p w14:paraId="7AC2B3C0" w14:textId="77777777" w:rsidR="00F32EED" w:rsidRDefault="00F32EED" w:rsidP="00F32EED">
            <w:pPr>
              <w:spacing w:after="0" w:line="257" w:lineRule="auto"/>
              <w:jc w:val="center"/>
            </w:pPr>
            <w:r>
              <w:rPr>
                <w:b/>
                <w:color w:val="FFFFFF"/>
                <w:sz w:val="17"/>
              </w:rPr>
              <w:t>Marks</w:t>
            </w:r>
          </w:p>
        </w:tc>
      </w:tr>
      <w:tr w:rsidR="00F32EED" w14:paraId="523C9FBA" w14:textId="77777777" w:rsidTr="00F32EED">
        <w:trPr>
          <w:cantSplit/>
        </w:trPr>
        <w:tc>
          <w:tcPr>
            <w:tcW w:w="1888" w:type="dxa"/>
            <w:vAlign w:val="center"/>
          </w:tcPr>
          <w:p w14:paraId="142B70D3" w14:textId="380BB718" w:rsidR="00F32EED" w:rsidRDefault="00F32EED" w:rsidP="00F32EED">
            <w:pPr>
              <w:spacing w:after="0" w:line="257" w:lineRule="auto"/>
              <w:rPr>
                <w:sz w:val="17"/>
              </w:rPr>
            </w:pPr>
            <w:r>
              <w:rPr>
                <w:b/>
                <w:sz w:val="17"/>
              </w:rPr>
              <w:t>Visual clarity and aesthetics</w:t>
            </w:r>
          </w:p>
        </w:tc>
        <w:tc>
          <w:tcPr>
            <w:tcW w:w="5909" w:type="dxa"/>
            <w:tcMar>
              <w:top w:w="100" w:type="dxa"/>
              <w:left w:w="90" w:type="dxa"/>
              <w:bottom w:w="100" w:type="dxa"/>
              <w:right w:w="90" w:type="dxa"/>
            </w:tcMar>
            <w:vAlign w:val="center"/>
          </w:tcPr>
          <w:p w14:paraId="33DF77B2" w14:textId="62B62CC7" w:rsidR="00F32EED" w:rsidRDefault="00F32EED" w:rsidP="00F32EED">
            <w:pPr>
              <w:spacing w:after="0" w:line="257" w:lineRule="auto"/>
            </w:pPr>
            <w:r>
              <w:rPr>
                <w:sz w:val="17"/>
              </w:rPr>
              <w:t>Clean and consistent figures; readable axes and legends; appropriate plot choices; professional slide layout and logical visual flow.</w:t>
            </w:r>
          </w:p>
        </w:tc>
        <w:tc>
          <w:tcPr>
            <w:tcW w:w="1842" w:type="dxa"/>
            <w:tcMar>
              <w:top w:w="100" w:type="dxa"/>
              <w:left w:w="90" w:type="dxa"/>
              <w:bottom w:w="100" w:type="dxa"/>
              <w:right w:w="90" w:type="dxa"/>
            </w:tcMar>
            <w:vAlign w:val="center"/>
          </w:tcPr>
          <w:p w14:paraId="1EFFB12C" w14:textId="77777777" w:rsidR="00F32EED" w:rsidRDefault="00F32EED" w:rsidP="00F32EED">
            <w:pPr>
              <w:spacing w:after="0" w:line="257" w:lineRule="auto"/>
              <w:jc w:val="center"/>
            </w:pPr>
            <w:r>
              <w:rPr>
                <w:sz w:val="17"/>
              </w:rPr>
              <w:t>10</w:t>
            </w:r>
          </w:p>
        </w:tc>
      </w:tr>
      <w:tr w:rsidR="00F32EED" w14:paraId="01D5DBE8" w14:textId="77777777" w:rsidTr="00F32EED">
        <w:trPr>
          <w:cantSplit/>
        </w:trPr>
        <w:tc>
          <w:tcPr>
            <w:tcW w:w="1888" w:type="dxa"/>
            <w:shd w:val="clear" w:color="auto" w:fill="F4F6F8"/>
            <w:vAlign w:val="center"/>
          </w:tcPr>
          <w:p w14:paraId="06F73418" w14:textId="347BE1B8" w:rsidR="00F32EED" w:rsidRDefault="00F32EED" w:rsidP="00F32EED">
            <w:pPr>
              <w:spacing w:after="0" w:line="257" w:lineRule="auto"/>
              <w:rPr>
                <w:sz w:val="17"/>
              </w:rPr>
            </w:pPr>
            <w:r>
              <w:rPr>
                <w:b/>
                <w:sz w:val="17"/>
              </w:rPr>
              <w:t>Question and analytical design</w:t>
            </w:r>
          </w:p>
        </w:tc>
        <w:tc>
          <w:tcPr>
            <w:tcW w:w="5909" w:type="dxa"/>
            <w:shd w:val="clear" w:color="auto" w:fill="F4F6F8"/>
            <w:tcMar>
              <w:top w:w="100" w:type="dxa"/>
              <w:left w:w="90" w:type="dxa"/>
              <w:bottom w:w="100" w:type="dxa"/>
              <w:right w:w="90" w:type="dxa"/>
            </w:tcMar>
            <w:vAlign w:val="center"/>
          </w:tcPr>
          <w:p w14:paraId="7AAF7EEA" w14:textId="2425E070" w:rsidR="00F32EED" w:rsidRDefault="00F32EED" w:rsidP="00F32EED">
            <w:pPr>
              <w:spacing w:after="0" w:line="257" w:lineRule="auto"/>
            </w:pPr>
            <w:r>
              <w:rPr>
                <w:sz w:val="17"/>
              </w:rPr>
              <w:t>A clear extension objective, a meaningful comparison/grouping/prediction setup, and well-justified data, variables and approach.</w:t>
            </w:r>
          </w:p>
        </w:tc>
        <w:tc>
          <w:tcPr>
            <w:tcW w:w="1842" w:type="dxa"/>
            <w:shd w:val="clear" w:color="auto" w:fill="F4F6F8"/>
            <w:tcMar>
              <w:top w:w="100" w:type="dxa"/>
              <w:left w:w="90" w:type="dxa"/>
              <w:bottom w:w="100" w:type="dxa"/>
              <w:right w:w="90" w:type="dxa"/>
            </w:tcMar>
            <w:vAlign w:val="center"/>
          </w:tcPr>
          <w:p w14:paraId="39A4C993" w14:textId="77777777" w:rsidR="00F32EED" w:rsidRDefault="00F32EED" w:rsidP="00F32EED">
            <w:pPr>
              <w:spacing w:after="0" w:line="257" w:lineRule="auto"/>
              <w:jc w:val="center"/>
            </w:pPr>
            <w:r>
              <w:rPr>
                <w:sz w:val="17"/>
              </w:rPr>
              <w:t>10</w:t>
            </w:r>
          </w:p>
        </w:tc>
      </w:tr>
      <w:tr w:rsidR="00F32EED" w14:paraId="57166AAF" w14:textId="77777777" w:rsidTr="00F32EED">
        <w:trPr>
          <w:cantSplit/>
        </w:trPr>
        <w:tc>
          <w:tcPr>
            <w:tcW w:w="1888" w:type="dxa"/>
            <w:vAlign w:val="center"/>
          </w:tcPr>
          <w:p w14:paraId="20FD3D40" w14:textId="0F8F2D0F" w:rsidR="00F32EED" w:rsidRDefault="00F32EED" w:rsidP="00F32EED">
            <w:pPr>
              <w:spacing w:after="0" w:line="257" w:lineRule="auto"/>
              <w:rPr>
                <w:sz w:val="17"/>
              </w:rPr>
            </w:pPr>
            <w:r>
              <w:rPr>
                <w:b/>
                <w:sz w:val="17"/>
              </w:rPr>
              <w:t>Technical implementation</w:t>
            </w:r>
          </w:p>
        </w:tc>
        <w:tc>
          <w:tcPr>
            <w:tcW w:w="5909" w:type="dxa"/>
            <w:tcMar>
              <w:top w:w="100" w:type="dxa"/>
              <w:left w:w="90" w:type="dxa"/>
              <w:bottom w:w="100" w:type="dxa"/>
              <w:right w:w="90" w:type="dxa"/>
            </w:tcMar>
            <w:vAlign w:val="center"/>
          </w:tcPr>
          <w:p w14:paraId="3E0F04A5" w14:textId="4F7BC6D8" w:rsidR="00F32EED" w:rsidRDefault="00F32EED" w:rsidP="00F32EED">
            <w:pPr>
              <w:spacing w:after="0" w:line="257" w:lineRule="auto"/>
            </w:pPr>
            <w:r>
              <w:rPr>
                <w:sz w:val="17"/>
              </w:rPr>
              <w:t>Correct and coherent analytical workflow; appropriate calculations or model implementation; code that can reproduce the extension results.</w:t>
            </w:r>
          </w:p>
        </w:tc>
        <w:tc>
          <w:tcPr>
            <w:tcW w:w="1842" w:type="dxa"/>
            <w:tcMar>
              <w:top w:w="100" w:type="dxa"/>
              <w:left w:w="90" w:type="dxa"/>
              <w:bottom w:w="100" w:type="dxa"/>
              <w:right w:w="90" w:type="dxa"/>
            </w:tcMar>
            <w:vAlign w:val="center"/>
          </w:tcPr>
          <w:p w14:paraId="613205D3" w14:textId="77777777" w:rsidR="00F32EED" w:rsidRDefault="00F32EED" w:rsidP="00F32EED">
            <w:pPr>
              <w:spacing w:after="0" w:line="257" w:lineRule="auto"/>
              <w:jc w:val="center"/>
            </w:pPr>
            <w:r>
              <w:rPr>
                <w:sz w:val="17"/>
              </w:rPr>
              <w:t>10</w:t>
            </w:r>
          </w:p>
        </w:tc>
      </w:tr>
      <w:tr w:rsidR="00F32EED" w14:paraId="682CB107" w14:textId="77777777" w:rsidTr="00F32EED">
        <w:trPr>
          <w:cantSplit/>
        </w:trPr>
        <w:tc>
          <w:tcPr>
            <w:tcW w:w="1888" w:type="dxa"/>
            <w:shd w:val="clear" w:color="auto" w:fill="F4F6F8"/>
            <w:vAlign w:val="center"/>
          </w:tcPr>
          <w:p w14:paraId="25EF80A2" w14:textId="02C04A6E" w:rsidR="00F32EED" w:rsidRDefault="00F32EED" w:rsidP="00F32EED">
            <w:pPr>
              <w:spacing w:after="0" w:line="257" w:lineRule="auto"/>
              <w:rPr>
                <w:sz w:val="17"/>
              </w:rPr>
            </w:pPr>
            <w:r>
              <w:rPr>
                <w:b/>
                <w:sz w:val="17"/>
              </w:rPr>
              <w:t>Depth and evidence of insights</w:t>
            </w:r>
          </w:p>
        </w:tc>
        <w:tc>
          <w:tcPr>
            <w:tcW w:w="5909" w:type="dxa"/>
            <w:shd w:val="clear" w:color="auto" w:fill="F4F6F8"/>
            <w:tcMar>
              <w:top w:w="100" w:type="dxa"/>
              <w:left w:w="90" w:type="dxa"/>
              <w:bottom w:w="100" w:type="dxa"/>
              <w:right w:w="90" w:type="dxa"/>
            </w:tcMar>
            <w:vAlign w:val="center"/>
          </w:tcPr>
          <w:p w14:paraId="4971845E" w14:textId="33B11C31" w:rsidR="00F32EED" w:rsidRDefault="00F32EED" w:rsidP="00F32EED">
            <w:pPr>
              <w:spacing w:after="0" w:line="257" w:lineRule="auto"/>
            </w:pPr>
            <w:r>
              <w:rPr>
                <w:sz w:val="17"/>
              </w:rPr>
              <w:t>Identify important patterns, quantify differences or performance where relevant, explain their significance, and support conclusions with results rather than description alone.</w:t>
            </w:r>
          </w:p>
        </w:tc>
        <w:tc>
          <w:tcPr>
            <w:tcW w:w="1842" w:type="dxa"/>
            <w:shd w:val="clear" w:color="auto" w:fill="F4F6F8"/>
            <w:tcMar>
              <w:top w:w="100" w:type="dxa"/>
              <w:left w:w="90" w:type="dxa"/>
              <w:bottom w:w="100" w:type="dxa"/>
              <w:right w:w="90" w:type="dxa"/>
            </w:tcMar>
            <w:vAlign w:val="center"/>
          </w:tcPr>
          <w:p w14:paraId="22EFE4E4" w14:textId="77777777" w:rsidR="00F32EED" w:rsidRDefault="00F32EED" w:rsidP="00F32EED">
            <w:pPr>
              <w:spacing w:after="0" w:line="257" w:lineRule="auto"/>
              <w:jc w:val="center"/>
            </w:pPr>
            <w:r>
              <w:rPr>
                <w:sz w:val="17"/>
              </w:rPr>
              <w:t>15</w:t>
            </w:r>
          </w:p>
        </w:tc>
      </w:tr>
      <w:tr w:rsidR="00F32EED" w14:paraId="78A0F51A" w14:textId="77777777" w:rsidTr="00F32EED">
        <w:trPr>
          <w:cantSplit/>
        </w:trPr>
        <w:tc>
          <w:tcPr>
            <w:tcW w:w="1888" w:type="dxa"/>
            <w:vAlign w:val="center"/>
          </w:tcPr>
          <w:p w14:paraId="13C4856D" w14:textId="25F4175C" w:rsidR="00F32EED" w:rsidRDefault="00F32EED" w:rsidP="00F32EED">
            <w:pPr>
              <w:spacing w:after="0" w:line="257" w:lineRule="auto"/>
              <w:rPr>
                <w:sz w:val="17"/>
              </w:rPr>
            </w:pPr>
            <w:r>
              <w:rPr>
                <w:b/>
                <w:sz w:val="17"/>
              </w:rPr>
              <w:t>Critical reflection</w:t>
            </w:r>
          </w:p>
        </w:tc>
        <w:tc>
          <w:tcPr>
            <w:tcW w:w="5909" w:type="dxa"/>
            <w:tcMar>
              <w:top w:w="100" w:type="dxa"/>
              <w:left w:w="90" w:type="dxa"/>
              <w:bottom w:w="100" w:type="dxa"/>
              <w:right w:w="90" w:type="dxa"/>
            </w:tcMar>
            <w:vAlign w:val="center"/>
          </w:tcPr>
          <w:p w14:paraId="5C1519F9" w14:textId="2B769A05" w:rsidR="00F32EED" w:rsidRDefault="00F32EED" w:rsidP="00F32EED">
            <w:pPr>
              <w:spacing w:after="0" w:line="257" w:lineRule="auto"/>
            </w:pPr>
            <w:proofErr w:type="spellStart"/>
            <w:r>
              <w:rPr>
                <w:sz w:val="17"/>
              </w:rPr>
              <w:t>Recognise</w:t>
            </w:r>
            <w:proofErr w:type="spellEnd"/>
            <w:r>
              <w:rPr>
                <w:sz w:val="17"/>
              </w:rPr>
              <w:t xml:space="preserve"> important data or modelling limitations and outline plausible improvements or next steps.</w:t>
            </w:r>
          </w:p>
        </w:tc>
        <w:tc>
          <w:tcPr>
            <w:tcW w:w="1842" w:type="dxa"/>
            <w:tcMar>
              <w:top w:w="100" w:type="dxa"/>
              <w:left w:w="90" w:type="dxa"/>
              <w:bottom w:w="100" w:type="dxa"/>
              <w:right w:w="90" w:type="dxa"/>
            </w:tcMar>
            <w:vAlign w:val="center"/>
          </w:tcPr>
          <w:p w14:paraId="309253AE" w14:textId="77777777" w:rsidR="00F32EED" w:rsidRDefault="00F32EED" w:rsidP="00F32EED">
            <w:pPr>
              <w:spacing w:after="0" w:line="257" w:lineRule="auto"/>
              <w:jc w:val="center"/>
            </w:pPr>
            <w:r>
              <w:rPr>
                <w:sz w:val="17"/>
              </w:rPr>
              <w:t>5</w:t>
            </w:r>
          </w:p>
        </w:tc>
      </w:tr>
      <w:tr w:rsidR="00F32EED" w14:paraId="67D1DECE" w14:textId="77777777" w:rsidTr="00F32EED">
        <w:trPr>
          <w:cantSplit/>
        </w:trPr>
        <w:tc>
          <w:tcPr>
            <w:tcW w:w="1888" w:type="dxa"/>
            <w:shd w:val="clear" w:color="auto" w:fill="F8EEF1"/>
            <w:vAlign w:val="center"/>
          </w:tcPr>
          <w:p w14:paraId="1B5B11F9" w14:textId="77777777" w:rsidR="00F32EED" w:rsidRDefault="00F32EED" w:rsidP="00F32EED">
            <w:pPr>
              <w:spacing w:after="0" w:line="257" w:lineRule="auto"/>
              <w:rPr>
                <w:b/>
                <w:color w:val="751426"/>
                <w:sz w:val="18"/>
              </w:rPr>
            </w:pPr>
          </w:p>
        </w:tc>
        <w:tc>
          <w:tcPr>
            <w:tcW w:w="5909" w:type="dxa"/>
            <w:shd w:val="clear" w:color="auto" w:fill="F8EEF1"/>
            <w:tcMar>
              <w:top w:w="90" w:type="dxa"/>
              <w:left w:w="90" w:type="dxa"/>
              <w:bottom w:w="90" w:type="dxa"/>
              <w:right w:w="90" w:type="dxa"/>
            </w:tcMar>
            <w:vAlign w:val="center"/>
          </w:tcPr>
          <w:p w14:paraId="47350F50" w14:textId="0841AD5B" w:rsidR="00F32EED" w:rsidRDefault="00F32EED" w:rsidP="00F32EED">
            <w:pPr>
              <w:spacing w:after="0" w:line="257" w:lineRule="auto"/>
            </w:pPr>
            <w:r>
              <w:rPr>
                <w:b/>
                <w:color w:val="751426"/>
                <w:sz w:val="18"/>
              </w:rPr>
              <w:t>Extension subtotal</w:t>
            </w:r>
          </w:p>
        </w:tc>
        <w:tc>
          <w:tcPr>
            <w:tcW w:w="1842" w:type="dxa"/>
            <w:shd w:val="clear" w:color="auto" w:fill="F8EEF1"/>
            <w:tcMar>
              <w:top w:w="90" w:type="dxa"/>
              <w:left w:w="90" w:type="dxa"/>
              <w:bottom w:w="90" w:type="dxa"/>
              <w:right w:w="90" w:type="dxa"/>
            </w:tcMar>
            <w:vAlign w:val="center"/>
          </w:tcPr>
          <w:p w14:paraId="599943FB" w14:textId="77777777" w:rsidR="00F32EED" w:rsidRDefault="00F32EED" w:rsidP="00F32EED">
            <w:pPr>
              <w:spacing w:after="0" w:line="257" w:lineRule="auto"/>
              <w:jc w:val="center"/>
            </w:pPr>
            <w:r>
              <w:rPr>
                <w:b/>
                <w:color w:val="751426"/>
                <w:sz w:val="18"/>
              </w:rPr>
              <w:t>50</w:t>
            </w:r>
          </w:p>
        </w:tc>
      </w:tr>
    </w:tbl>
    <w:p w14:paraId="795D70E1" w14:textId="77777777" w:rsidR="007B06DB" w:rsidRDefault="00000000">
      <w:pPr>
        <w:spacing w:before="120" w:after="0"/>
        <w:rPr>
          <w:lang w:eastAsia="zh-CN"/>
        </w:rPr>
      </w:pPr>
      <w:r>
        <w:rPr>
          <w:b/>
          <w:color w:val="751426"/>
        </w:rPr>
        <w:t>Support extension findings with quantitative results and clear interpretation.</w:t>
      </w:r>
      <w:r/>
    </w:p>
    <w:p w14:paraId="288C1379" w14:textId="77777777" w:rsidR="00F32EED" w:rsidRDefault="00F32EED">
      <w:pPr>
        <w:spacing w:before="120" w:after="0"/>
        <w:rPr>
          <w:lang w:eastAsia="zh-CN"/>
        </w:rPr>
      </w:pPr>
    </w:p>
    <w:p w14:paraId="777D6E25" w14:textId="77777777" w:rsidR="00F32EED" w:rsidRPr="00F32EED" w:rsidRDefault="00F32EED">
      <w:pPr>
        <w:spacing w:before="120" w:after="0"/>
        <w:rPr>
          <w:rFonts w:hint="eastAsia"/>
          <w:lang w:eastAsia="zh-CN"/>
        </w:rPr>
      </w:pPr>
    </w:p>
    <w:sectPr w:rsidR="00F32EED" w:rsidRPr="00F32EED" w:rsidSect="00034616">
      <w:headerReference w:type="default" r:id="rId8"/>
      <w:footerReference w:type="default" r:id="rId9"/>
      <w:pgSz w:w="11909" w:h="16834"/>
      <w:pgMar w:top="1008" w:right="1037" w:bottom="936" w:left="1037" w:header="461"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07C6A4" w14:textId="77777777" w:rsidR="001640B1" w:rsidRDefault="001640B1">
      <w:pPr>
        <w:spacing w:after="0" w:line="240" w:lineRule="auto"/>
      </w:pPr>
      <w:r>
        <w:separator/>
      </w:r>
    </w:p>
  </w:endnote>
  <w:endnote w:type="continuationSeparator" w:id="0">
    <w:p w14:paraId="73E38A51" w14:textId="77777777" w:rsidR="001640B1" w:rsidRDefault="00164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73200F" w14:textId="77777777" w:rsidR="007B06DB" w:rsidRDefault="00000000">
    <w:pPr>
      <w:pStyle w:val="a7"/>
      <w:jc w:val="center"/>
    </w:pPr>
    <w:r>
      <w:rPr>
        <w:color w:val="58626F"/>
        <w:sz w:val="15"/>
      </w:rPr>
      <w:t xml:space="preserve">BSE4610 MINI-PROJECT  •  ASSESSMENT RUBRIC     |     </w:t>
    </w:r>
    <w:r>
      <w:fldChar w:fldCharType="begin"/>
    </w:r>
    <w:r>
      <w:instrText>PAGE</w:instrText>
    </w:r>
    <w:r>
      <w:fldChar w:fldCharType="separate"/>
    </w:r>
    <w:r w:rsidR="007E1F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787A58" w14:textId="77777777" w:rsidR="001640B1" w:rsidRDefault="001640B1">
      <w:pPr>
        <w:spacing w:after="0" w:line="240" w:lineRule="auto"/>
      </w:pPr>
      <w:r>
        <w:separator/>
      </w:r>
    </w:p>
  </w:footnote>
  <w:footnote w:type="continuationSeparator" w:id="0">
    <w:p w14:paraId="45C15E00" w14:textId="77777777" w:rsidR="001640B1" w:rsidRDefault="00164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05FBFE" w14:textId="77777777" w:rsidR="007B06DB" w:rsidRDefault="00000000">
    <w:pPr>
      <w:pStyle w:val="a5"/>
      <w:jc w:val="right"/>
    </w:pPr>
    <w:r>
      <w:rPr>
        <w:b/>
        <w:color w:val="58626F"/>
        <w:sz w:val="16"/>
      </w:rPr>
      <w:t>BSE4610  /  BUILDING INFORMATICS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D946266"/>
    <w:multiLevelType w:val="hybridMultilevel"/>
    <w:tmpl w:val="81FE58CC"/>
    <w:lvl w:ilvl="0" w:tplc="7340E846">
      <w:start w:val="1"/>
      <w:numFmt w:val="decimal"/>
      <w:lvlText w:val="%1."/>
      <w:lvlJc w:val="left"/>
      <w:pPr>
        <w:ind w:left="360" w:hanging="360"/>
      </w:pPr>
      <w:rPr>
        <w:rFonts w:hint="default"/>
        <w:sz w:val="17"/>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15239270">
    <w:abstractNumId w:val="8"/>
  </w:num>
  <w:num w:numId="2" w16cid:durableId="1939410209">
    <w:abstractNumId w:val="6"/>
  </w:num>
  <w:num w:numId="3" w16cid:durableId="164635791">
    <w:abstractNumId w:val="5"/>
  </w:num>
  <w:num w:numId="4" w16cid:durableId="718940142">
    <w:abstractNumId w:val="4"/>
  </w:num>
  <w:num w:numId="5" w16cid:durableId="1946229754">
    <w:abstractNumId w:val="7"/>
  </w:num>
  <w:num w:numId="6" w16cid:durableId="2037583811">
    <w:abstractNumId w:val="3"/>
  </w:num>
  <w:num w:numId="7" w16cid:durableId="1697654422">
    <w:abstractNumId w:val="2"/>
  </w:num>
  <w:num w:numId="8" w16cid:durableId="1948539445">
    <w:abstractNumId w:val="1"/>
  </w:num>
  <w:num w:numId="9" w16cid:durableId="2038383825">
    <w:abstractNumId w:val="0"/>
  </w:num>
  <w:num w:numId="10" w16cid:durableId="183398710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0B1"/>
    <w:rsid w:val="0029639D"/>
    <w:rsid w:val="00326F90"/>
    <w:rsid w:val="005A7170"/>
    <w:rsid w:val="007B06DB"/>
    <w:rsid w:val="007E1FD1"/>
    <w:rsid w:val="00800A7C"/>
    <w:rsid w:val="00AA1D8D"/>
    <w:rsid w:val="00B47730"/>
    <w:rsid w:val="00CB0664"/>
    <w:rsid w:val="00F32E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99D51"/>
  <w14:defaultImageDpi w14:val="300"/>
  <w15:docId w15:val="{D376B27D-DB0A-5E4A-97EB-EDA2765EF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4" w:lineRule="auto"/>
    </w:pPr>
    <w:rPr>
      <w:rFonts w:ascii="Aptos" w:hAnsi="Aptos"/>
      <w:color w:val="1F2D3B"/>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keepNext/>
      <w:spacing w:before="200" w:after="120"/>
    </w:pPr>
    <w:rPr>
      <w:rFonts w:ascii="Aptos" w:hAnsi="Aptos"/>
      <w:b/>
      <w:color w:val="751426"/>
      <w:sz w:val="23"/>
    </w:rPr>
  </w:style>
  <w:style w:type="paragraph" w:customStyle="1" w:styleId="DocumentTitle">
    <w:name w:val="Document Title"/>
    <w:pPr>
      <w:keepNext/>
      <w:spacing w:after="140"/>
    </w:pPr>
    <w:rPr>
      <w:rFonts w:ascii="Aptos Display" w:hAnsi="Aptos Display"/>
      <w:b/>
      <w:color w:val="751426"/>
      <w:sz w:val="40"/>
    </w:rPr>
  </w:style>
  <w:style w:type="paragraph" w:customStyle="1" w:styleId="Subhead">
    <w:name w:val="Subhead"/>
    <w:pPr>
      <w:keepNext/>
      <w:spacing w:after="80"/>
    </w:pPr>
    <w:rPr>
      <w:rFonts w:ascii="Aptos" w:hAnsi="Aptos"/>
      <w:b/>
      <w:color w:val="1F2D3B"/>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665</Words>
  <Characters>3792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BSE4610 Building Informatics | Mini-Project Guidelines and Rubric</dc:title>
  <dc:subject>Mini-Project Assessment: 20% of final course grade</dc:subject>
  <dc:creator>BSE4610 Teaching Team</dc:creator>
  <cp:keywords/>
  <dc:description>generated by python-docx</dc:description>
  <cp:lastModifiedBy>GUO Zhling</cp:lastModifiedBy>
  <cp:revision>2</cp:revision>
  <dcterms:created xsi:type="dcterms:W3CDTF">2013-12-23T23:15:00Z</dcterms:created>
  <dcterms:modified xsi:type="dcterms:W3CDTF">2026-10-13T05:55:00Z</dcterms:modified>
  <cp:category/>
</cp:coreProperties>
</file>