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color w:val="1F2937"/>
          <w:sz w:val="28"/>
        </w:rPr>
        <w:t>IGNITION SYSTEM COMPONENT TRADE STUDY REPORT</w:t>
      </w:r>
    </w:p>
    <w:p>
      <w:pPr>
        <w:pStyle w:val="Heading1"/>
      </w:pPr>
      <w:r>
        <w:rPr>
          <w:b/>
          <w:color w:val="0F172A"/>
          <w:sz w:val="36"/>
        </w:rPr>
        <w:t>Project: Ignition System</w:t>
      </w:r>
    </w:p>
    <w:p>
      <w:pPr>
        <w:pStyle w:val="Heading1"/>
      </w:pPr>
      <w:r>
        <w:rPr>
          <w:b/>
          <w:color w:val="0F172A"/>
          <w:sz w:val="36"/>
        </w:rPr>
        <w:t>Component Type: Igniter</w:t>
      </w:r>
    </w:p>
    <w:p>
      <w:pPr>
        <w:pStyle w:val="Heading1"/>
      </w:pPr>
      <w:r>
        <w:rPr>
          <w:b/>
          <w:color w:val="0F172A"/>
          <w:sz w:val="36"/>
        </w:rPr>
        <w:t>Report Date: [Current Date]</w:t>
      </w:r>
    </w:p>
    <w:p>
      <w:pPr>
        <w:pStyle w:val="Heading2"/>
      </w:pPr>
      <w:r>
        <w:rPr>
          <w:b/>
          <w:color w:val="1F2937"/>
          <w:sz w:val="28"/>
        </w:rPr>
        <w:t>Prepared By: Aerospace Systems Engineering Team</w:t>
      </w:r>
    </w:p>
    <w:p>
      <w:pPr>
        <w:pStyle w:val="Heading1"/>
      </w:pPr>
      <w:r>
        <w:rPr>
          <w:b/>
          <w:color w:val="0F172A"/>
          <w:sz w:val="36"/>
        </w:rPr>
        <w:t>Executive Summary</w:t>
      </w:r>
    </w:p>
    <w:p>
      <w:r>
        <w:rPr>
          <w:rFonts w:ascii="Calibri" w:hAnsi="Calibri"/>
          <w:color w:val="0F172A"/>
          <w:sz w:val="22"/>
        </w:rPr>
        <w:t>This trade study evaluates six ignition system components for engine start applications, analyzing performance across five weighted criteria: reliability (35%), response time (25%), power draw (20%), weight (10%), and cost (10%). The TransDigm Hartwell HW-IEU-250 emerges as the top-ranked solution with a weighted score of 7.55, primarily due to its exceptional reliability (99.8%) and rapid response time (15ms). This high-performance ignition exciter unit provides 25 joule output and is certified for commercial aviation use, making it the recommended choice for applications where mission-critical reliability is paramount.</w:t>
      </w:r>
    </w:p>
    <w:p>
      <w:pPr>
        <w:pStyle w:val="Heading1"/>
      </w:pPr>
      <w:r>
        <w:rPr>
          <w:b/>
          <w:color w:val="0F172A"/>
          <w:sz w:val="36"/>
        </w:rPr>
        <w:t>Methodology</w:t>
      </w:r>
    </w:p>
    <w:p>
      <w:r>
        <w:rPr>
          <w:rFonts w:ascii="Calibri" w:hAnsi="Calibri"/>
          <w:color w:val="0F172A"/>
          <w:sz w:val="22"/>
        </w:rPr>
        <w:t>The evaluation employs a weighted multi-criteria decision analysis approach. Each component is scored on a 1-10 scale for five key performance criteria, with weights reflecting operational priorities:</w:t>
      </w:r>
    </w:p>
    <w:p>
      <w:r>
        <w:rPr>
          <w:rFonts w:ascii="Calibri" w:hAnsi="Calibri"/>
          <w:color w:val="0F172A"/>
          <w:sz w:val="22"/>
        </w:rPr>
        <w:t>Reliability (35%): Ignition success rate percentage - highest weight reflecting mission-critical nature Response Time (25%): Time to ignition in milliseconds - critical for engine start sequences Power Draw (20%): Electrical power consumption in watts - impacts system efficiency Weight (10%): Component mass in kilograms - aerospace weight constraints Cost (10%): Unit cost in USD - procurement considerations</w:t>
      </w:r>
    </w:p>
    <w:p>
      <w:r>
        <w:rPr>
          <w:rFonts w:ascii="Calibri" w:hAnsi="Calibri"/>
          <w:color w:val="0F172A"/>
          <w:sz w:val="22"/>
        </w:rPr>
        <w:t>The weighted scoring methodology enables objective comparison across diverse component specifications and operational requirements. Raw performance data is normalized to 1-10 scores, then multiplied by respective criteria weights to generate total weighted scores.</w:t>
      </w:r>
    </w:p>
    <w:p>
      <w:pPr>
        <w:pStyle w:val="Heading1"/>
      </w:pPr>
      <w:r>
        <w:rPr>
          <w:b/>
          <w:color w:val="0F172A"/>
          <w:sz w:val="36"/>
        </w:rPr>
        <w:t>Component Analysis</w:t>
      </w:r>
    </w:p>
    <w:p>
      <w:r>
        <w:rPr>
          <w:rFonts w:ascii="Calibri" w:hAnsi="Calibri"/>
          <w:color w:val="0F172A"/>
          <w:sz w:val="22"/>
        </w:rPr>
        <w:t>Top Performer: TransDigm Hartwell HW-IEU-250 (Score: 7.55) This commercial aviation-certified unit delivers superior performance with 99.8% reliability and 15ms response time. The 25 joule output ensures consistent ignition across operating conditions. While carrying a premium price point ($8,500), the unit's 45W power consumption and 1.86kg mass are reasonable for its performance class.</w:t>
      </w:r>
    </w:p>
    <w:p>
      <w:pPr>
        <w:pStyle w:val="Heading2"/>
      </w:pPr>
      <w:r>
        <w:rPr>
          <w:b/>
          <w:color w:val="1F2937"/>
          <w:sz w:val="28"/>
        </w:rPr>
        <w:t>Strong Contender: Unison Industries 4390A (Score: 7.50)</w:t>
      </w:r>
    </w:p>
    <w:p>
      <w:r>
        <w:rPr>
          <w:rFonts w:ascii="Calibri" w:hAnsi="Calibri"/>
          <w:color w:val="0F172A"/>
          <w:sz w:val="22"/>
        </w:rPr>
        <w:t>The solid-state design achieves 98.5% reliability with sub-100ms response time. At 0.68kg, it offers the best weight characteristics among top performers. The 6 joule output and $3,500 cost position it favorably for weight-sensitive applications requiring moderate energy output.</w:t>
      </w:r>
    </w:p>
    <w:p>
      <w:r>
        <w:rPr>
          <w:rFonts w:ascii="Calibri" w:hAnsi="Calibri"/>
          <w:color w:val="0F172A"/>
          <w:sz w:val="22"/>
        </w:rPr>
        <w:t>Commercial Grade Options: Meggitt IEU-300 and Woodward IEU-3000 (Both Score: 7.20) Both units target commercial aircraft applications with 99.2% and 98.5% reliability respectively. The Meggitt unit provides 12 joule output with 300 spark/min capability, while the Woodward offers 20 joule output with FADEC compatibility and built-in diagnostics. Both feature 15-75ms response times but carry higher power consumption (45-85W).</w:t>
      </w:r>
    </w:p>
    <w:p>
      <w:r>
        <w:rPr>
          <w:rFonts w:ascii="Calibri" w:hAnsi="Calibri"/>
          <w:color w:val="0F172A"/>
          <w:sz w:val="22"/>
        </w:rPr>
        <w:t>High-Energy Solution: Champion Aerospace REM40E (Score: 6.95) Delivers exceptional energy output (40 joules) and fastest response time (&lt;50ms) but requires significant power (120W). The 98% reliability and moderate weight (1.27kg) make it suitable for applications requiring maximum ignition energy.</w:t>
      </w:r>
    </w:p>
    <w:p>
      <w:r>
        <w:rPr>
          <w:rFonts w:ascii="Calibri" w:hAnsi="Calibri"/>
          <w:color w:val="0F172A"/>
          <w:sz w:val="22"/>
        </w:rPr>
        <w:t>Lightweight Option: Kelly Aerospace KA-IGN-100 (Score: 6.70) Features solid-state design with 50,000+ cycle life rating and competitive weight (0.816kg). However, lower reliability (95%) and moderate performance across other criteria result in the lowest overall ranking.</w:t>
      </w:r>
    </w:p>
    <w:p>
      <w:pPr>
        <w:pStyle w:val="Heading1"/>
      </w:pPr>
      <w:r>
        <w:rPr>
          <w:b/>
          <w:color w:val="0F172A"/>
          <w:sz w:val="36"/>
        </w:rPr>
        <w:t>Trade-Off Discussion</w:t>
      </w:r>
    </w:p>
    <w:p>
      <w:pPr>
        <w:pStyle w:val="Heading2"/>
      </w:pPr>
      <w:r>
        <w:rPr>
          <w:b/>
          <w:color w:val="1F2937"/>
          <w:sz w:val="28"/>
        </w:rPr>
        <w:t>The top three candidates present distinct value propositions</w:t>
      </w:r>
    </w:p>
    <w:p>
      <w:r>
        <w:rPr>
          <w:rFonts w:ascii="Calibri" w:hAnsi="Calibri"/>
          <w:color w:val="0F172A"/>
          <w:sz w:val="22"/>
        </w:rPr>
        <w:t>TransDigm Hartwell HW-IEU-250 leads through reliability excellence and rapid response, justifying premium pricing for mission-critical applications. Its 25 joule output provides substantial margin for challenging ignition conditions.</w:t>
      </w:r>
    </w:p>
    <w:p>
      <w:r>
        <w:rPr>
          <w:rFonts w:ascii="Calibri" w:hAnsi="Calibri"/>
          <w:color w:val="0F172A"/>
          <w:sz w:val="22"/>
        </w:rPr>
        <w:t>Unison Industries 4390A offers the best weight-to-performance ratio with solid reliability and cost efficiency. The 6 joule output may limit applicability in demanding ignition scenarios but excels for standard turboprop/small turbofan applications.</w:t>
      </w:r>
    </w:p>
    <w:p>
      <w:r>
        <w:rPr>
          <w:rFonts w:ascii="Calibri" w:hAnsi="Calibri"/>
          <w:color w:val="0F172A"/>
          <w:sz w:val="22"/>
        </w:rPr>
        <w:t>Meggitt IEU-300/Woodward IEU-3000 tie in overall scoring but differ in key characteristics. The Meggitt emphasizes high spark rate capability while the Woodward focuses on digital integration and diagnostics. Both represent mainstream commercial aviation solutions.</w:t>
      </w:r>
    </w:p>
    <w:p>
      <w:pPr>
        <w:pStyle w:val="Heading1"/>
      </w:pPr>
      <w:r>
        <w:rPr>
          <w:b/>
          <w:color w:val="0F172A"/>
          <w:sz w:val="36"/>
        </w:rPr>
        <w:t>Key differentiators include</w:t>
      </w:r>
    </w:p>
    <w:p>
      <w:r>
        <w:rPr>
          <w:rFonts w:ascii="Calibri" w:hAnsi="Calibri"/>
          <w:color w:val="0F172A"/>
          <w:sz w:val="22"/>
        </w:rPr>
        <w:t>Reliability span: 95-99.8% across candidates Energy output range: 6-40 joules affecting ignition robustness Response time variation: 15-100ms impacting start sequence timing Power consumption spread: 45-120W influencing system efficiency</w:t>
      </w:r>
    </w:p>
    <w:p>
      <w:pPr>
        <w:pStyle w:val="Heading1"/>
      </w:pPr>
      <w:r>
        <w:rPr>
          <w:b/>
          <w:color w:val="0F172A"/>
          <w:sz w:val="36"/>
        </w:rPr>
        <w:t>Recommendation</w:t>
      </w:r>
    </w:p>
    <w:p>
      <w:r>
        <w:rPr>
          <w:rFonts w:ascii="Calibri" w:hAnsi="Calibri"/>
          <w:color w:val="0F172A"/>
          <w:sz w:val="22"/>
        </w:rPr>
        <w:t>Primary Recommendation: TransDigm Hartwell HW-IEU-250</w:t>
      </w:r>
    </w:p>
    <w:p>
      <w:r>
        <w:rPr>
          <w:rFonts w:ascii="Calibri" w:hAnsi="Calibri"/>
          <w:color w:val="0F172A"/>
          <w:sz w:val="22"/>
        </w:rPr>
        <w:t>The TransDigm Hartwell HW-IEU-250 is recommended based on its superior weighted performance score of 7.55. This recommendation is supported by:</w:t>
      </w:r>
    </w:p>
    <w:p>
      <w:pPr>
        <w:pStyle w:val="ListBullet"/>
      </w:pPr>
      <w:r>
        <w:rPr>
          <w:rFonts w:ascii="Calibri" w:hAnsi="Calibri"/>
          <w:color w:val="0F172A"/>
          <w:sz w:val="22"/>
        </w:rPr>
        <w:t>Exceptional Reliability: 99.8% success rate provides maximum confidence for critical ignition applications</w:t>
      </w:r>
    </w:p>
    <w:p>
      <w:pPr>
        <w:pStyle w:val="ListBullet"/>
      </w:pPr>
      <w:r>
        <w:rPr>
          <w:rFonts w:ascii="Calibri" w:hAnsi="Calibri"/>
          <w:color w:val="0F172A"/>
          <w:sz w:val="22"/>
        </w:rPr>
        <w:t>Rapid Response: 15ms ignition time enables efficient engine start sequences</w:t>
      </w:r>
    </w:p>
    <w:p>
      <w:pPr>
        <w:pStyle w:val="ListBullet"/>
      </w:pPr>
      <w:r>
        <w:rPr>
          <w:rFonts w:ascii="Calibri" w:hAnsi="Calibri"/>
          <w:color w:val="0F172A"/>
          <w:sz w:val="22"/>
        </w:rPr>
        <w:t>Robust Output: 25 joule energy output ensures reliable ignition across operational envelopes</w:t>
      </w:r>
    </w:p>
    <w:p>
      <w:pPr>
        <w:pStyle w:val="ListBullet"/>
      </w:pPr>
      <w:r>
        <w:rPr>
          <w:rFonts w:ascii="Calibri" w:hAnsi="Calibri"/>
          <w:color w:val="0F172A"/>
          <w:sz w:val="22"/>
        </w:rPr>
        <w:t>Commercial Certification: Aviation certification reduces integration risk and regulatory compliance burden</w:t>
      </w:r>
    </w:p>
    <w:p>
      <w:pPr>
        <w:pStyle w:val="ListBullet"/>
      </w:pPr>
      <w:r>
        <w:rPr>
          <w:rFonts w:ascii="Calibri" w:hAnsi="Calibri"/>
          <w:color w:val="0F172A"/>
          <w:sz w:val="22"/>
        </w:rPr>
        <w:t>Balanced Performance: Strong scores across all evaluation criteria with no significant weaknesses</w:t>
      </w:r>
    </w:p>
    <w:p>
      <w:r>
        <w:rPr>
          <w:rFonts w:ascii="Calibri" w:hAnsi="Calibri"/>
          <w:color w:val="0F172A"/>
          <w:sz w:val="22"/>
        </w:rPr>
        <w:t>Alternative Consideration: For weight-sensitive applications where 6 joule output suffices, the Unison Industries 4390A offers comparable performance at 68% of the weight and 41% of the cost while maintaining 98.5% reliability.</w:t>
      </w:r>
    </w:p>
    <w:p>
      <w:pPr>
        <w:pStyle w:val="Heading1"/>
      </w:pPr>
      <w:r>
        <w:rPr>
          <w:b/>
          <w:color w:val="0F172A"/>
          <w:sz w:val="36"/>
        </w:rPr>
        <w:t>Conclusion</w:t>
      </w:r>
    </w:p>
    <w:p>
      <w:r>
        <w:rPr>
          <w:rFonts w:ascii="Calibri" w:hAnsi="Calibri"/>
          <w:color w:val="0F172A"/>
          <w:sz w:val="22"/>
        </w:rPr>
        <w:t>The trade study identifies the TransDigm Hartwell HW-IEU-250 as the optimal ignition system component, providing superior reliability and performance characteristics essential for aerospace applications. The comprehensive evaluation demonstrates clear performance differentiation among candidates, with reliability and response time serving as primary discriminators.</w:t>
      </w:r>
    </w:p>
    <w:p>
      <w:pPr>
        <w:pStyle w:val="Heading1"/>
      </w:pPr>
      <w:r>
        <w:rPr>
          <w:b/>
          <w:color w:val="0F172A"/>
          <w:sz w:val="36"/>
        </w:rPr>
        <w:t>Recommended Next Steps</w:t>
      </w:r>
    </w:p>
    <w:p>
      <w:pPr>
        <w:pStyle w:val="ListBullet"/>
      </w:pPr>
      <w:r>
        <w:rPr>
          <w:rFonts w:ascii="Calibri" w:hAnsi="Calibri"/>
          <w:color w:val="0F172A"/>
          <w:sz w:val="22"/>
        </w:rPr>
        <w:t>Initiate procurement discussions with TransDigm Hartwell for detailed specifications and delivery timelines</w:t>
      </w:r>
    </w:p>
    <w:p>
      <w:pPr>
        <w:pStyle w:val="ListBullet"/>
      </w:pPr>
      <w:r>
        <w:rPr>
          <w:rFonts w:ascii="Calibri" w:hAnsi="Calibri"/>
          <w:color w:val="0F172A"/>
          <w:sz w:val="22"/>
        </w:rPr>
        <w:t>Conduct system-level integration analysis to validate power and interface requirements</w:t>
      </w:r>
    </w:p>
    <w:p>
      <w:pPr>
        <w:pStyle w:val="ListBullet"/>
      </w:pPr>
      <w:r>
        <w:rPr>
          <w:rFonts w:ascii="Calibri" w:hAnsi="Calibri"/>
          <w:color w:val="0F172A"/>
          <w:sz w:val="22"/>
        </w:rPr>
        <w:t>Develop qualification test plan to verify performance in operational environment</w:t>
      </w:r>
    </w:p>
    <w:p>
      <w:pPr>
        <w:pStyle w:val="ListBullet"/>
      </w:pPr>
      <w:r>
        <w:rPr>
          <w:rFonts w:ascii="Calibri" w:hAnsi="Calibri"/>
          <w:color w:val="0F172A"/>
          <w:sz w:val="22"/>
        </w:rPr>
        <w:t>Establish backup supplier evaluation with Unison Industries 4390A as secondary option</w:t>
      </w:r>
    </w:p>
    <w:p>
      <w:pPr>
        <w:pStyle w:val="ListBullet"/>
      </w:pPr>
      <w:r>
        <w:rPr>
          <w:rFonts w:ascii="Calibri" w:hAnsi="Calibri"/>
          <w:color w:val="0F172A"/>
          <w:sz w:val="22"/>
        </w:rPr>
        <w:t>Review maintenance and lifecycle support requirements for selected component</w:t>
      </w:r>
    </w:p>
    <w:p>
      <w:r>
        <w:rPr>
          <w:rFonts w:ascii="Calibri" w:hAnsi="Calibri"/>
          <w:color w:val="0F172A"/>
          <w:sz w:val="22"/>
        </w:rPr>
        <w:t>This systematic evaluation provides confidence that the recommended ignition system will meet operational requirements while optimizing performance across critical evaluation criteria.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