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Results 2026</w:t>
      </w:r>
    </w:p>
    <w:p>
      <w:r>
        <w:t>Revenue and headcount by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headcount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412000</w:t>
            </w:r>
          </w:p>
        </w:tc>
        <w:tc>
          <w:tcPr>
            <w:tcW w:type="dxa" w:w="2160"/>
          </w:tcPr>
          <w:p>
            <w:r>
              <w:t>300000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455000</w:t>
            </w:r>
          </w:p>
        </w:tc>
        <w:tc>
          <w:tcPr>
            <w:tcW w:type="dxa" w:w="2160"/>
          </w:tcPr>
          <w:p>
            <w:r>
              <w:t>310000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398000</w:t>
            </w:r>
          </w:p>
        </w:tc>
        <w:tc>
          <w:tcPr>
            <w:tcW w:type="dxa" w:w="2160"/>
          </w:tcPr>
          <w:p>
            <w:r>
              <w:t>295000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521000</w:t>
            </w:r>
          </w:p>
        </w:tc>
        <w:tc>
          <w:tcPr>
            <w:tcW w:type="dxa" w:w="2160"/>
          </w:tcPr>
          <w:p>
            <w:r>
              <w:t>330000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